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800"/>
        <w:jc w:val="center"/>
      </w:pPr>
      <w:r>
        <w:rPr>
          <w:rFonts w:ascii="Arial" w:cs="Arial" w:eastAsia="Arial" w:hAnsi="Arial"/>
          <w:b/>
          <w:bCs/>
          <w:color w:val="0A1628"/>
          <w:sz w:val="52"/>
          <w:szCs w:val="52"/>
        </w:rPr>
        <w:t xml:space="preserve">PIXOUL GROUP</w:t>
      </w:r>
    </w:p>
    <w:p>
      <w:pPr>
        <w:spacing w:after="100" w:before="0"/>
        <w:jc w:val="center"/>
      </w:pPr>
      <w:r>
        <w:rPr>
          <w:rFonts w:ascii="Arial" w:cs="Arial" w:eastAsia="Arial" w:hAnsi="Arial"/>
          <w:color w:val="C8922A"/>
          <w:sz w:val="28"/>
          <w:szCs w:val="28"/>
        </w:rPr>
        <w:t xml:space="preserve">Corporate Structure, IP Ownership &amp; Intercompany Agreements</w:t>
      </w:r>
    </w:p>
    <w:p>
      <w:pPr>
        <w:spacing w:after="80" w:before="0"/>
        <w:jc w:val="center"/>
      </w:pPr>
      <w:r>
        <w:rPr>
          <w:rFonts w:ascii="Arial" w:cs="Arial" w:eastAsia="Arial" w:hAnsi="Arial"/>
          <w:i/>
          <w:iCs/>
          <w:color w:val="6B7280"/>
          <w:sz w:val="20"/>
          <w:szCs w:val="20"/>
        </w:rPr>
        <w:t xml:space="preserve">Prepared for Legal Review — Casablanca, Morocco — 2026</w:t>
      </w:r>
    </w:p>
    <w:p>
      <w:pPr>
        <w:pBdr>
          <w:bottom w:val="single" w:color="C8922A" w:sz="6"/>
        </w:pBdr>
        <w:spacing w:after="200" w:before="200"/>
      </w:pPr>
      <w:r>
        <w:t xml:space="preserve"/>
      </w:r>
    </w:p>
    <w:p>
      <w:pPr>
        <w:shd w:fill="FFF8ED" w:val="clear"/>
        <w:spacing w:after="80" w:before="0"/>
        <w:jc w:val="center"/>
      </w:pPr>
      <w:r>
        <w:rPr>
          <w:rFonts w:ascii="Arial" w:cs="Arial" w:eastAsia="Arial" w:hAnsi="Arial"/>
          <w:b/>
          <w:bCs/>
          <w:color w:val="C8922A"/>
          <w:sz w:val="18"/>
          <w:szCs w:val="18"/>
        </w:rPr>
        <w:t xml:space="preserve">  STRICTLY CONFIDENTIAL — ATTORNEY-CLIENT PRIVILEGED  </w:t>
      </w:r>
    </w:p>
    <w:p>
      <w:pPr>
        <w:spacing w:after="0" w:before="160"/>
      </w:pPr>
      <w:r>
        <w:t xml:space="preserve"/>
      </w:r>
    </w:p>
    <w:p>
      <w:pPr>
        <w:shd w:fill="0A1628" w:val="clear"/>
        <w:spacing w:after="120" w:before="400"/>
      </w:pPr>
      <w:r>
        <w:rPr>
          <w:rFonts w:ascii="Arial" w:cs="Arial" w:eastAsia="Arial" w:hAnsi="Arial"/>
          <w:b/>
          <w:bCs/>
          <w:color w:val="C8922A"/>
          <w:sz w:val="22"/>
          <w:szCs w:val="22"/>
        </w:rPr>
        <w:t xml:space="preserve">  01  </w:t>
      </w:r>
      <w:r>
        <w:rPr>
          <w:rFonts w:ascii="Arial" w:cs="Arial" w:eastAsia="Arial" w:hAnsi="Arial"/>
          <w:b/>
          <w:bCs/>
          <w:color w:val="FFFFFF"/>
          <w:sz w:val="22"/>
          <w:szCs w:val="22"/>
        </w:rPr>
        <w:t xml:space="preserve">  Group Overview &amp; Purpose of This Document</w:t>
      </w:r>
    </w:p>
    <w:p>
      <w:pPr>
        <w:spacing w:after="0" w:before="80"/>
      </w:pPr>
      <w:r>
        <w:t xml:space="preserve"/>
      </w:r>
    </w:p>
    <w:p>
      <w:pPr>
        <w:spacing w:after="80" w:before="80"/>
      </w:pPr>
      <w:r>
        <w:rPr>
          <w:rFonts w:ascii="Arial" w:cs="Arial" w:eastAsia="Arial" w:hAnsi="Arial"/>
          <w:b w:val="false"/>
          <w:bCs w:val="false"/>
          <w:color w:val="374151"/>
          <w:sz w:val="20"/>
          <w:szCs w:val="20"/>
        </w:rPr>
        <w:t xml:space="preserve">This document sets out the full corporate structure of the Pixoul group of companies, as instructed by the founder, Toufic Assaf. It is intended for review by legal counsel in connection with:</w:t>
      </w:r>
    </w:p>
    <w:p>
      <w:pPr>
        <w:spacing w:after="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00"/>
        <w:gridCol w:w="9238"/>
      </w:tblGrid>
      <w:tr>
        <w:tc>
          <w:tcPr>
            <w:tcW w:type="dxa" w:w="400"/>
            <w:tcBorders>
              <w:top w:val="none" w:color="FFFFFF" w:sz="0"/>
              <w:left w:val="none" w:color="FFFFFF" w:sz="0"/>
              <w:bottom w:val="none" w:color="FFFFFF" w:sz="0"/>
              <w:right w:val="none" w:color="FFFFFF" w:sz="0"/>
            </w:tcBorders>
            <w:tcMar>
              <w:top w:type="dxa" w:w="80"/>
              <w:left w:type="dxa" w:w="0"/>
              <w:bottom w:type="dxa" w:w="80"/>
              <w:right w:type="dxa" w:w="80"/>
            </w:tcMar>
          </w:tcPr>
          <w:p>
            <w:r>
              <w:rPr>
                <w:rFonts w:ascii="Arial" w:cs="Arial" w:eastAsia="Arial" w:hAnsi="Arial"/>
                <w:b/>
                <w:bCs/>
                <w:color w:val="C8922A"/>
                <w:sz w:val="18"/>
                <w:szCs w:val="18"/>
              </w:rPr>
              <w:t xml:space="preserve">(a)</w:t>
            </w:r>
          </w:p>
        </w:tc>
        <w:tc>
          <w:tcPr>
            <w:tcW w:type="dxa" w:w="9238"/>
            <w:tcBorders>
              <w:top w:val="none" w:color="FFFFFF" w:sz="0"/>
              <w:left w:val="none" w:color="FFFFFF" w:sz="0"/>
              <w:bottom w:val="none" w:color="FFFFFF" w:sz="0"/>
              <w:right w:val="none" w:color="FFFFFF" w:sz="0"/>
            </w:tcBorders>
            <w:tcMar>
              <w:top w:type="dxa" w:w="80"/>
              <w:left w:type="dxa" w:w="80"/>
              <w:bottom w:type="dxa" w:w="80"/>
              <w:right w:type="dxa" w:w="0"/>
            </w:tcMar>
          </w:tcPr>
          <w:p>
            <w:r>
              <w:rPr>
                <w:rFonts w:ascii="Arial" w:cs="Arial" w:eastAsia="Arial" w:hAnsi="Arial"/>
                <w:color w:val="374151"/>
                <w:sz w:val="18"/>
                <w:szCs w:val="18"/>
              </w:rPr>
              <w:t xml:space="preserve">The formation and registration of Pixoul Holdings SARL under the Casablanca Finance City (CFC) regime</w:t>
            </w:r>
          </w:p>
        </w:tc>
      </w:tr>
      <w:tr>
        <w:tc>
          <w:tcPr>
            <w:tcW w:type="dxa" w:w="400"/>
            <w:tcBorders>
              <w:top w:val="none" w:color="FFFFFF" w:sz="0"/>
              <w:left w:val="none" w:color="FFFFFF" w:sz="0"/>
              <w:bottom w:val="none" w:color="FFFFFF" w:sz="0"/>
              <w:right w:val="none" w:color="FFFFFF" w:sz="0"/>
            </w:tcBorders>
            <w:tcMar>
              <w:top w:type="dxa" w:w="80"/>
              <w:left w:type="dxa" w:w="0"/>
              <w:bottom w:type="dxa" w:w="80"/>
              <w:right w:type="dxa" w:w="80"/>
            </w:tcMar>
          </w:tcPr>
          <w:p>
            <w:r>
              <w:rPr>
                <w:rFonts w:ascii="Arial" w:cs="Arial" w:eastAsia="Arial" w:hAnsi="Arial"/>
                <w:b/>
                <w:bCs/>
                <w:color w:val="C8922A"/>
                <w:sz w:val="18"/>
                <w:szCs w:val="18"/>
              </w:rPr>
              <w:t xml:space="preserve">(b)</w:t>
            </w:r>
          </w:p>
        </w:tc>
        <w:tc>
          <w:tcPr>
            <w:tcW w:type="dxa" w:w="9238"/>
            <w:tcBorders>
              <w:top w:val="none" w:color="FFFFFF" w:sz="0"/>
              <w:left w:val="none" w:color="FFFFFF" w:sz="0"/>
              <w:bottom w:val="none" w:color="FFFFFF" w:sz="0"/>
              <w:right w:val="none" w:color="FFFFFF" w:sz="0"/>
            </w:tcBorders>
            <w:tcMar>
              <w:top w:type="dxa" w:w="80"/>
              <w:left w:type="dxa" w:w="80"/>
              <w:bottom w:type="dxa" w:w="80"/>
              <w:right w:type="dxa" w:w="0"/>
            </w:tcMar>
          </w:tcPr>
          <w:p>
            <w:r>
              <w:rPr>
                <w:rFonts w:ascii="Arial" w:cs="Arial" w:eastAsia="Arial" w:hAnsi="Arial"/>
                <w:color w:val="374151"/>
                <w:sz w:val="18"/>
                <w:szCs w:val="18"/>
              </w:rPr>
              <w:t xml:space="preserve">The formation and registration of Pixoul Tech SARL as a standalone commercial entity</w:t>
            </w:r>
          </w:p>
        </w:tc>
      </w:tr>
      <w:tr>
        <w:tc>
          <w:tcPr>
            <w:tcW w:type="dxa" w:w="400"/>
            <w:tcBorders>
              <w:top w:val="none" w:color="FFFFFF" w:sz="0"/>
              <w:left w:val="none" w:color="FFFFFF" w:sz="0"/>
              <w:bottom w:val="none" w:color="FFFFFF" w:sz="0"/>
              <w:right w:val="none" w:color="FFFFFF" w:sz="0"/>
            </w:tcBorders>
            <w:tcMar>
              <w:top w:type="dxa" w:w="80"/>
              <w:left w:type="dxa" w:w="0"/>
              <w:bottom w:type="dxa" w:w="80"/>
              <w:right w:type="dxa" w:w="80"/>
            </w:tcMar>
          </w:tcPr>
          <w:p>
            <w:r>
              <w:rPr>
                <w:rFonts w:ascii="Arial" w:cs="Arial" w:eastAsia="Arial" w:hAnsi="Arial"/>
                <w:b/>
                <w:bCs/>
                <w:color w:val="C8922A"/>
                <w:sz w:val="18"/>
                <w:szCs w:val="18"/>
              </w:rPr>
              <w:t xml:space="preserve">(c)</w:t>
            </w:r>
          </w:p>
        </w:tc>
        <w:tc>
          <w:tcPr>
            <w:tcW w:type="dxa" w:w="9238"/>
            <w:tcBorders>
              <w:top w:val="none" w:color="FFFFFF" w:sz="0"/>
              <w:left w:val="none" w:color="FFFFFF" w:sz="0"/>
              <w:bottom w:val="none" w:color="FFFFFF" w:sz="0"/>
              <w:right w:val="none" w:color="FFFFFF" w:sz="0"/>
            </w:tcBorders>
            <w:tcMar>
              <w:top w:type="dxa" w:w="80"/>
              <w:left w:type="dxa" w:w="80"/>
              <w:bottom w:type="dxa" w:w="80"/>
              <w:right w:type="dxa" w:w="0"/>
            </w:tcMar>
          </w:tcPr>
          <w:p>
            <w:r>
              <w:rPr>
                <w:rFonts w:ascii="Arial" w:cs="Arial" w:eastAsia="Arial" w:hAnsi="Arial"/>
                <w:color w:val="374151"/>
                <w:sz w:val="18"/>
                <w:szCs w:val="18"/>
              </w:rPr>
              <w:t xml:space="preserve">The formal assignment of all intellectual property to Pixoul Holdings SARL prior to closing of any investment round</w:t>
            </w:r>
          </w:p>
        </w:tc>
      </w:tr>
      <w:tr>
        <w:tc>
          <w:tcPr>
            <w:tcW w:type="dxa" w:w="400"/>
            <w:tcBorders>
              <w:top w:val="none" w:color="FFFFFF" w:sz="0"/>
              <w:left w:val="none" w:color="FFFFFF" w:sz="0"/>
              <w:bottom w:val="none" w:color="FFFFFF" w:sz="0"/>
              <w:right w:val="none" w:color="FFFFFF" w:sz="0"/>
            </w:tcBorders>
            <w:tcMar>
              <w:top w:type="dxa" w:w="80"/>
              <w:left w:type="dxa" w:w="0"/>
              <w:bottom w:type="dxa" w:w="80"/>
              <w:right w:type="dxa" w:w="80"/>
            </w:tcMar>
          </w:tcPr>
          <w:p>
            <w:r>
              <w:rPr>
                <w:rFonts w:ascii="Arial" w:cs="Arial" w:eastAsia="Arial" w:hAnsi="Arial"/>
                <w:b/>
                <w:bCs/>
                <w:color w:val="C8922A"/>
                <w:sz w:val="18"/>
                <w:szCs w:val="18"/>
              </w:rPr>
              <w:t xml:space="preserve">(d)</w:t>
            </w:r>
          </w:p>
        </w:tc>
        <w:tc>
          <w:tcPr>
            <w:tcW w:type="dxa" w:w="9238"/>
            <w:tcBorders>
              <w:top w:val="none" w:color="FFFFFF" w:sz="0"/>
              <w:left w:val="none" w:color="FFFFFF" w:sz="0"/>
              <w:bottom w:val="none" w:color="FFFFFF" w:sz="0"/>
              <w:right w:val="none" w:color="FFFFFF" w:sz="0"/>
            </w:tcBorders>
            <w:tcMar>
              <w:top w:type="dxa" w:w="80"/>
              <w:left w:type="dxa" w:w="80"/>
              <w:bottom w:type="dxa" w:w="80"/>
              <w:right w:type="dxa" w:w="0"/>
            </w:tcMar>
          </w:tcPr>
          <w:p>
            <w:r>
              <w:rPr>
                <w:rFonts w:ascii="Arial" w:cs="Arial" w:eastAsia="Arial" w:hAnsi="Arial"/>
                <w:color w:val="374151"/>
                <w:sz w:val="18"/>
                <w:szCs w:val="18"/>
              </w:rPr>
              <w:t xml:space="preserve">The drafting of intercompany service and licensing agreements between group entities</w:t>
            </w:r>
          </w:p>
        </w:tc>
      </w:tr>
      <w:tr>
        <w:tc>
          <w:tcPr>
            <w:tcW w:type="dxa" w:w="400"/>
            <w:tcBorders>
              <w:top w:val="none" w:color="FFFFFF" w:sz="0"/>
              <w:left w:val="none" w:color="FFFFFF" w:sz="0"/>
              <w:bottom w:val="none" w:color="FFFFFF" w:sz="0"/>
              <w:right w:val="none" w:color="FFFFFF" w:sz="0"/>
            </w:tcBorders>
            <w:tcMar>
              <w:top w:type="dxa" w:w="80"/>
              <w:left w:type="dxa" w:w="0"/>
              <w:bottom w:type="dxa" w:w="80"/>
              <w:right w:type="dxa" w:w="80"/>
            </w:tcMar>
          </w:tcPr>
          <w:p>
            <w:r>
              <w:rPr>
                <w:rFonts w:ascii="Arial" w:cs="Arial" w:eastAsia="Arial" w:hAnsi="Arial"/>
                <w:b/>
                <w:bCs/>
                <w:color w:val="C8922A"/>
                <w:sz w:val="18"/>
                <w:szCs w:val="18"/>
              </w:rPr>
              <w:t xml:space="preserve">(e)</w:t>
            </w:r>
          </w:p>
        </w:tc>
        <w:tc>
          <w:tcPr>
            <w:tcW w:type="dxa" w:w="9238"/>
            <w:tcBorders>
              <w:top w:val="none" w:color="FFFFFF" w:sz="0"/>
              <w:left w:val="none" w:color="FFFFFF" w:sz="0"/>
              <w:bottom w:val="none" w:color="FFFFFF" w:sz="0"/>
              <w:right w:val="none" w:color="FFFFFF" w:sz="0"/>
            </w:tcBorders>
            <w:tcMar>
              <w:top w:type="dxa" w:w="80"/>
              <w:left w:type="dxa" w:w="80"/>
              <w:bottom w:type="dxa" w:w="80"/>
              <w:right w:type="dxa" w:w="0"/>
            </w:tcMar>
          </w:tcPr>
          <w:p>
            <w:r>
              <w:rPr>
                <w:rFonts w:ascii="Arial" w:cs="Arial" w:eastAsia="Arial" w:hAnsi="Arial"/>
                <w:color w:val="374151"/>
                <w:sz w:val="18"/>
                <w:szCs w:val="18"/>
              </w:rPr>
              <w:t xml:space="preserve">The structuring of the R1 investor's rights in The Medina Lab SARL, including revenue carve-out provisions and fee arrangements</w:t>
            </w:r>
          </w:p>
        </w:tc>
      </w:tr>
    </w:tbl>
    <w:p>
      <w:pPr>
        <w:spacing w:after="0" w:before="160"/>
      </w:pPr>
      <w:r>
        <w:t xml:space="preserve"/>
      </w:r>
    </w:p>
    <w:p>
      <w:pPr>
        <w:pBdr>
          <w:bottom w:val="single" w:color="D1D5DB" w:sz="4"/>
        </w:pBdr>
        <w:spacing w:after="200" w:before="200"/>
      </w:pPr>
      <w:r>
        <w:t xml:space="preserve"/>
      </w:r>
    </w:p>
    <w:p>
      <w:pPr>
        <w:shd w:fill="0A1628" w:val="clear"/>
        <w:spacing w:after="120" w:before="400"/>
      </w:pPr>
      <w:r>
        <w:rPr>
          <w:rFonts w:ascii="Arial" w:cs="Arial" w:eastAsia="Arial" w:hAnsi="Arial"/>
          <w:b/>
          <w:bCs/>
          <w:color w:val="C8922A"/>
          <w:sz w:val="22"/>
          <w:szCs w:val="22"/>
        </w:rPr>
        <w:t xml:space="preserve">  02  </w:t>
      </w:r>
      <w:r>
        <w:rPr>
          <w:rFonts w:ascii="Arial" w:cs="Arial" w:eastAsia="Arial" w:hAnsi="Arial"/>
          <w:b/>
          <w:bCs/>
          <w:color w:val="FFFFFF"/>
          <w:sz w:val="22"/>
          <w:szCs w:val="22"/>
        </w:rPr>
        <w:t xml:space="preserve">  Beneficial Owner</w:t>
      </w:r>
    </w:p>
    <w:p>
      <w:pPr>
        <w:spacing w:after="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6746"/>
      </w:tblGrid>
      <w:tr>
        <w:trPr>
          <w:tblHeader/>
        </w:trPr>
        <w:tc>
          <w:tcPr>
            <w:tcW w:type="dxa" w:w="2891"/>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Field</w:t>
            </w:r>
          </w:p>
        </w:tc>
        <w:tc>
          <w:tcPr>
            <w:tcW w:type="dxa" w:w="6746"/>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Detail</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Full name</w:t>
            </w:r>
          </w:p>
        </w:tc>
        <w:tc>
          <w:tcPr>
            <w:tcW w:type="dxa" w:w="6746"/>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Toufic Assaf</w:t>
            </w:r>
          </w:p>
        </w:tc>
      </w:tr>
      <w:tr>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Role</w:t>
            </w:r>
          </w:p>
        </w:tc>
        <w:tc>
          <w:tcPr>
            <w:tcW w:type="dxa" w:w="6746"/>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Founder &amp; beneficial owner of all group entities</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Nationality</w:t>
            </w:r>
          </w:p>
        </w:tc>
        <w:tc>
          <w:tcPr>
            <w:tcW w:type="dxa" w:w="6746"/>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To be confirmed by counsel</w:t>
            </w:r>
          </w:p>
        </w:tc>
      </w:tr>
      <w:tr>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Residence</w:t>
            </w:r>
          </w:p>
        </w:tc>
        <w:tc>
          <w:tcPr>
            <w:tcW w:type="dxa" w:w="6746"/>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United Arab Emirates / Morocco (to be confirmed)</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Personal IP registered</w:t>
            </w:r>
          </w:p>
        </w:tc>
        <w:tc>
          <w:tcPr>
            <w:tcW w:type="dxa" w:w="6746"/>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Trademarks: Pixoul (UAE / Morocco)</w:t>
            </w:r>
          </w:p>
        </w:tc>
      </w:tr>
      <w:tr>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
            </w:r>
          </w:p>
        </w:tc>
        <w:tc>
          <w:tcPr>
            <w:tcW w:type="dxa" w:w="6746"/>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Brand format: Pixoul Gaming &amp; Learning Academy</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
            </w:r>
          </w:p>
        </w:tc>
        <w:tc>
          <w:tcPr>
            <w:tcW w:type="dxa" w:w="6746"/>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Operating playbook: Pixoul (UAE proven model)</w:t>
            </w:r>
          </w:p>
        </w:tc>
      </w:tr>
      <w:tr>
        <w:tc>
          <w:tcPr>
            <w:tcW w:type="dxa" w:w="2891"/>
            <w:tcBorders>
              <w:top w:val="single" w:color="D1D5DB" w:sz="1"/>
              <w:left w:val="single" w:color="D1D5DB" w:sz="1"/>
              <w:bottom w:val="single" w:color="D1D5DB" w:sz="1"/>
              <w:right w:val="single" w:color="D1D5DB" w:sz="1"/>
            </w:tcBorders>
            <w:shd w:fill="FFFBEB" w:val="clear"/>
            <w:tcMar>
              <w:top w:type="dxa" w:w="80"/>
              <w:left w:type="dxa" w:w="160"/>
              <w:bottom w:type="dxa" w:w="80"/>
              <w:right w:type="dxa" w:w="160"/>
            </w:tcMar>
            <w:vAlign w:val="center"/>
          </w:tcPr>
          <w:p>
            <w:r>
              <w:rPr>
                <w:rFonts w:ascii="Arial" w:cs="Arial" w:eastAsia="Arial" w:hAnsi="Arial"/>
                <w:color w:val="374151"/>
                <w:sz w:val="18"/>
                <w:szCs w:val="18"/>
              </w:rPr>
              <w:t xml:space="preserve">Action required</w:t>
            </w:r>
          </w:p>
        </w:tc>
        <w:tc>
          <w:tcPr>
            <w:tcW w:type="dxa" w:w="6746"/>
            <w:tcBorders>
              <w:top w:val="single" w:color="D1D5DB" w:sz="1"/>
              <w:left w:val="single" w:color="D1D5DB" w:sz="1"/>
              <w:bottom w:val="single" w:color="D1D5DB" w:sz="1"/>
              <w:right w:val="single" w:color="D1D5DB" w:sz="1"/>
            </w:tcBorders>
            <w:shd w:fill="FFFBEB" w:val="clear"/>
            <w:tcMar>
              <w:top w:type="dxa" w:w="80"/>
              <w:left w:type="dxa" w:w="160"/>
              <w:bottom w:type="dxa" w:w="80"/>
              <w:right w:type="dxa" w:w="160"/>
            </w:tcMar>
            <w:vAlign w:val="center"/>
          </w:tcPr>
          <w:p>
            <w:r>
              <w:rPr>
                <w:rFonts w:ascii="Arial" w:cs="Arial" w:eastAsia="Arial" w:hAnsi="Arial"/>
                <w:color w:val="374151"/>
                <w:sz w:val="18"/>
                <w:szCs w:val="18"/>
              </w:rPr>
              <w:t xml:space="preserve">All personal IP to be formally assigned to Pixoul Holdings SARL prior to investment closing — see Section 05</w:t>
            </w:r>
          </w:p>
        </w:tc>
      </w:tr>
    </w:tbl>
    <w:p>
      <w:pPr>
        <w:spacing w:after="0" w:before="160"/>
      </w:pPr>
      <w:r>
        <w:t xml:space="preserve"/>
      </w:r>
    </w:p>
    <w:p>
      <w:pPr>
        <w:pBdr>
          <w:bottom w:val="single" w:color="D1D5DB" w:sz="4"/>
        </w:pBdr>
        <w:spacing w:after="200" w:before="200"/>
      </w:pPr>
      <w:r>
        <w:t xml:space="preserve"/>
      </w:r>
    </w:p>
    <w:p>
      <w:pPr>
        <w:shd w:fill="0A1628" w:val="clear"/>
        <w:spacing w:after="120" w:before="400"/>
      </w:pPr>
      <w:r>
        <w:rPr>
          <w:rFonts w:ascii="Arial" w:cs="Arial" w:eastAsia="Arial" w:hAnsi="Arial"/>
          <w:b/>
          <w:bCs/>
          <w:color w:val="C8922A"/>
          <w:sz w:val="22"/>
          <w:szCs w:val="22"/>
        </w:rPr>
        <w:t xml:space="preserve">  03  </w:t>
      </w:r>
      <w:r>
        <w:rPr>
          <w:rFonts w:ascii="Arial" w:cs="Arial" w:eastAsia="Arial" w:hAnsi="Arial"/>
          <w:b/>
          <w:bCs/>
          <w:color w:val="FFFFFF"/>
          <w:sz w:val="22"/>
          <w:szCs w:val="22"/>
        </w:rPr>
        <w:t xml:space="preserve">  Group Entity Map</w:t>
      </w:r>
    </w:p>
    <w:p>
      <w:pPr>
        <w:spacing w:after="0" w:before="80"/>
      </w:pPr>
      <w:r>
        <w:t xml:space="preserve"/>
      </w:r>
    </w:p>
    <w:p>
      <w:pPr>
        <w:spacing w:after="80" w:before="80"/>
      </w:pPr>
      <w:r>
        <w:rPr>
          <w:rFonts w:ascii="Arial" w:cs="Arial" w:eastAsia="Arial" w:hAnsi="Arial"/>
          <w:b/>
          <w:bCs/>
          <w:color w:val="374151"/>
          <w:sz w:val="20"/>
          <w:szCs w:val="20"/>
        </w:rPr>
        <w:t xml:space="preserve">The Pixoul group comprises three entities, all ultimately owned by the founder. The structure is as follows:</w:t>
      </w:r>
    </w:p>
    <w:p>
      <w:pPr>
        <w:spacing w:after="0" w:before="80"/>
      </w:pPr>
      <w:r>
        <w:t xml:space="preserve"/>
      </w:r>
    </w:p>
    <w:p>
      <w:pPr>
        <w:shd w:fill="FFF3CD" w:val="clear"/>
        <w:spacing w:after="80" w:before="160"/>
      </w:pPr>
      <w:r>
        <w:rPr>
          <w:rFonts w:ascii="Arial" w:cs="Arial" w:eastAsia="Arial" w:hAnsi="Arial"/>
          <w:b/>
          <w:bCs/>
          <w:color w:val="0A1628"/>
          <w:sz w:val="24"/>
          <w:szCs w:val="24"/>
        </w:rPr>
        <w:t xml:space="preserve">  ENTITY 1 — Pixoul Holdings SARL</w:t>
      </w:r>
      <w:r>
        <w:rPr>
          <w:rFonts w:ascii="Arial" w:cs="Arial" w:eastAsia="Arial" w:hAnsi="Arial"/>
          <w:color w:val="6B7280"/>
          <w:sz w:val="18"/>
          <w:szCs w:val="18"/>
        </w:rPr>
        <w:t xml:space="preserve">   |   Casablanca Finance City (CFC), Morocco   |   100% — Toufic Assaf</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98"/>
        <w:gridCol w:w="6939"/>
      </w:tblGrid>
      <w:tr>
        <w:tc>
          <w:tcPr>
            <w:tcW w:type="dxa" w:w="2698"/>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Purpose</w:t>
            </w:r>
          </w:p>
        </w:tc>
        <w:tc>
          <w:tcPr>
            <w:tcW w:type="dxa" w:w="693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Management company and IP holding entity for the entire group</w:t>
            </w:r>
          </w:p>
        </w:tc>
      </w:tr>
      <w:tr>
        <w:tc>
          <w:tcPr>
            <w:tcW w:type="dxa" w:w="2698"/>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Jurisdiction</w:t>
            </w:r>
          </w:p>
        </w:tc>
        <w:tc>
          <w:tcPr>
            <w:tcW w:type="dxa" w:w="693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Casablanca Finance City (CFC) — sought for 0% corporate tax (5yr), 0% dividend withholding to non-residents, 20% CIT thereafter</w:t>
            </w:r>
          </w:p>
        </w:tc>
      </w:tr>
      <w:tr>
        <w:tc>
          <w:tcPr>
            <w:tcW w:type="dxa" w:w="2698"/>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Ownership</w:t>
            </w:r>
          </w:p>
        </w:tc>
        <w:tc>
          <w:tcPr>
            <w:tcW w:type="dxa" w:w="693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100% Toufic Assaf — no external investors</w:t>
            </w:r>
          </w:p>
        </w:tc>
      </w:tr>
      <w:tr>
        <w:tc>
          <w:tcPr>
            <w:tcW w:type="dxa" w:w="2698"/>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IP owned</w:t>
            </w:r>
          </w:p>
        </w:tc>
        <w:tc>
          <w:tcPr>
            <w:tcW w:type="dxa" w:w="693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See Section 05 — full IP schedule</w:t>
            </w:r>
          </w:p>
        </w:tc>
      </w:tr>
      <w:tr>
        <w:tc>
          <w:tcPr>
            <w:tcW w:type="dxa" w:w="2698"/>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Function</w:t>
            </w:r>
          </w:p>
        </w:tc>
        <w:tc>
          <w:tcPr>
            <w:tcW w:type="dxa" w:w="693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Invoices management fees, IP licensing, consulting, content, and tech services to all group entities</w:t>
            </w:r>
          </w:p>
        </w:tc>
      </w:tr>
      <w:tr>
        <w:tc>
          <w:tcPr>
            <w:tcW w:type="dxa" w:w="2698"/>
            <w:tcBorders>
              <w:top w:val="single" w:color="D1D5DB" w:sz="1"/>
              <w:left w:val="single" w:color="D1D5DB" w:sz="1"/>
              <w:bottom w:val="single" w:color="D1D5DB" w:sz="1"/>
              <w:right w:val="single" w:color="D1D5DB" w:sz="1"/>
            </w:tcBorders>
            <w:shd w:fill="FFFBEB" w:val="clear"/>
            <w:tcMar>
              <w:top w:type="dxa" w:w="80"/>
              <w:left w:type="dxa" w:w="160"/>
              <w:bottom w:type="dxa" w:w="80"/>
              <w:right w:type="dxa" w:w="160"/>
            </w:tcMar>
            <w:vAlign w:val="center"/>
          </w:tcPr>
          <w:p>
            <w:r>
              <w:rPr>
                <w:rFonts w:ascii="Arial" w:cs="Arial" w:eastAsia="Arial" w:hAnsi="Arial"/>
                <w:color w:val="374151"/>
                <w:sz w:val="18"/>
                <w:szCs w:val="18"/>
              </w:rPr>
              <w:t xml:space="preserve">Status</w:t>
            </w:r>
          </w:p>
        </w:tc>
        <w:tc>
          <w:tcPr>
            <w:tcW w:type="dxa" w:w="6939"/>
            <w:tcBorders>
              <w:top w:val="single" w:color="D1D5DB" w:sz="1"/>
              <w:left w:val="single" w:color="D1D5DB" w:sz="1"/>
              <w:bottom w:val="single" w:color="D1D5DB" w:sz="1"/>
              <w:right w:val="single" w:color="D1D5DB" w:sz="1"/>
            </w:tcBorders>
            <w:shd w:fill="FFFBEB" w:val="clear"/>
            <w:tcMar>
              <w:top w:type="dxa" w:w="80"/>
              <w:left w:type="dxa" w:w="160"/>
              <w:bottom w:type="dxa" w:w="80"/>
              <w:right w:type="dxa" w:w="160"/>
            </w:tcMar>
            <w:vAlign w:val="center"/>
          </w:tcPr>
          <w:p>
            <w:r>
              <w:rPr>
                <w:rFonts w:ascii="Arial" w:cs="Arial" w:eastAsia="Arial" w:hAnsi="Arial"/>
                <w:color w:val="374151"/>
                <w:sz w:val="18"/>
                <w:szCs w:val="18"/>
              </w:rPr>
              <w:t xml:space="preserve">To be incorporated — CFC application to be filed</w:t>
            </w:r>
          </w:p>
        </w:tc>
      </w:tr>
    </w:tbl>
    <w:p>
      <w:pPr>
        <w:spacing w:after="0" w:before="80"/>
      </w:pPr>
      <w:r>
        <w:t xml:space="preserve"/>
      </w:r>
    </w:p>
    <w:p>
      <w:pPr>
        <w:shd w:fill="E8F0FE" w:val="clear"/>
        <w:spacing w:after="80" w:before="160"/>
      </w:pPr>
      <w:r>
        <w:rPr>
          <w:rFonts w:ascii="Arial" w:cs="Arial" w:eastAsia="Arial" w:hAnsi="Arial"/>
          <w:b/>
          <w:bCs/>
          <w:color w:val="0A1628"/>
          <w:sz w:val="24"/>
          <w:szCs w:val="24"/>
        </w:rPr>
        <w:t xml:space="preserve">  ENTITY 2 — The Medina Lab SARL</w:t>
      </w:r>
      <w:r>
        <w:rPr>
          <w:rFonts w:ascii="Arial" w:cs="Arial" w:eastAsia="Arial" w:hAnsi="Arial"/>
          <w:color w:val="6B7280"/>
          <w:sz w:val="18"/>
          <w:szCs w:val="18"/>
        </w:rPr>
        <w:t xml:space="preserve">   |   Casablanca, Morocco   |   51% Founder / 49% R1 Investor</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98"/>
        <w:gridCol w:w="6939"/>
      </w:tblGrid>
      <w:tr>
        <w:tc>
          <w:tcPr>
            <w:tcW w:type="dxa" w:w="2698"/>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Purpose</w:t>
            </w:r>
          </w:p>
        </w:tc>
        <w:tc>
          <w:tcPr>
            <w:tcW w:type="dxa" w:w="693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Operating company — 6,300 sqm gaming, education, esports, and entertainment venue, Casablanca</w:t>
            </w:r>
          </w:p>
        </w:tc>
      </w:tr>
      <w:tr>
        <w:tc>
          <w:tcPr>
            <w:tcW w:type="dxa" w:w="2698"/>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Jurisdiction</w:t>
            </w:r>
          </w:p>
        </w:tc>
        <w:tc>
          <w:tcPr>
            <w:tcW w:type="dxa" w:w="693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Morocco — standard SARL; potential CFC sub-entity to be advised</w:t>
            </w:r>
          </w:p>
        </w:tc>
      </w:tr>
      <w:tr>
        <w:tc>
          <w:tcPr>
            <w:tcW w:type="dxa" w:w="2698"/>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Ownership</w:t>
            </w:r>
          </w:p>
        </w:tc>
        <w:tc>
          <w:tcPr>
            <w:tcW w:type="dxa" w:w="693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Founder: 51% (voting control via dual class shares) | R1 Investor: 49% (economic, non-voting control)</w:t>
            </w:r>
          </w:p>
        </w:tc>
      </w:tr>
      <w:tr>
        <w:tc>
          <w:tcPr>
            <w:tcW w:type="dxa" w:w="2698"/>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Share classes</w:t>
            </w:r>
          </w:p>
        </w:tc>
        <w:tc>
          <w:tcPr>
            <w:tcW w:type="dxa" w:w="693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Class A: Founder — full voting rights | Class B: R1 Investor — economic rights, limited voting</w:t>
            </w:r>
          </w:p>
        </w:tc>
      </w:tr>
      <w:tr>
        <w:tc>
          <w:tcPr>
            <w:tcW w:type="dxa" w:w="2698"/>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Investor rights</w:t>
            </w:r>
          </w:p>
        </w:tc>
        <w:tc>
          <w:tcPr>
            <w:tcW w:type="dxa" w:w="693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Tag along | Drag along (75% threshold) | Board observer seat | Quarterly reporting | Annual fee audit</w:t>
            </w:r>
          </w:p>
        </w:tc>
      </w:tr>
      <w:tr>
        <w:tc>
          <w:tcPr>
            <w:tcW w:type="dxa" w:w="2698"/>
            <w:tcBorders>
              <w:top w:val="single" w:color="D1D5DB" w:sz="1"/>
              <w:left w:val="single" w:color="D1D5DB" w:sz="1"/>
              <w:bottom w:val="single" w:color="D1D5DB" w:sz="1"/>
              <w:right w:val="single" w:color="D1D5DB" w:sz="1"/>
            </w:tcBorders>
            <w:shd w:fill="FEF2F2" w:val="clear"/>
            <w:tcMar>
              <w:top w:type="dxa" w:w="80"/>
              <w:left w:type="dxa" w:w="160"/>
              <w:bottom w:type="dxa" w:w="80"/>
              <w:right w:type="dxa" w:w="160"/>
            </w:tcMar>
            <w:vAlign w:val="center"/>
          </w:tcPr>
          <w:p>
            <w:r>
              <w:rPr>
                <w:rFonts w:ascii="Arial" w:cs="Arial" w:eastAsia="Arial" w:hAnsi="Arial"/>
                <w:color w:val="374151"/>
                <w:sz w:val="18"/>
                <w:szCs w:val="18"/>
              </w:rPr>
              <w:t xml:space="preserve">Spin-out rights</w:t>
            </w:r>
          </w:p>
        </w:tc>
        <w:tc>
          <w:tcPr>
            <w:tcW w:type="dxa" w:w="6939"/>
            <w:tcBorders>
              <w:top w:val="single" w:color="D1D5DB" w:sz="1"/>
              <w:left w:val="single" w:color="D1D5DB" w:sz="1"/>
              <w:bottom w:val="single" w:color="D1D5DB" w:sz="1"/>
              <w:right w:val="single" w:color="D1D5DB" w:sz="1"/>
            </w:tcBorders>
            <w:shd w:fill="FEF2F2" w:val="clear"/>
            <w:tcMar>
              <w:top w:type="dxa" w:w="80"/>
              <w:left w:type="dxa" w:w="160"/>
              <w:bottom w:type="dxa" w:w="80"/>
              <w:right w:type="dxa" w:w="160"/>
            </w:tcMar>
            <w:vAlign w:val="center"/>
          </w:tcPr>
          <w:p>
            <w:r>
              <w:rPr>
                <w:rFonts w:ascii="Arial" w:cs="Arial" w:eastAsia="Arial" w:hAnsi="Arial"/>
                <w:color w:val="374151"/>
                <w:sz w:val="18"/>
                <w:szCs w:val="18"/>
              </w:rPr>
              <w:t xml:space="preserve">R1 Investor has ZERO rights in any spin-out entity — full carve-out — see Section 07</w:t>
            </w:r>
          </w:p>
        </w:tc>
      </w:tr>
      <w:tr>
        <w:tc>
          <w:tcPr>
            <w:tcW w:type="dxa" w:w="2698"/>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Revenue carve-out</w:t>
            </w:r>
          </w:p>
        </w:tc>
        <w:tc>
          <w:tcPr>
            <w:tcW w:type="dxa" w:w="693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R1 receives 2–5% of gross revenue from each spin-out, capped at USD 500,000/year total — see Section 07</w:t>
            </w:r>
          </w:p>
        </w:tc>
      </w:tr>
      <w:tr>
        <w:tc>
          <w:tcPr>
            <w:tcW w:type="dxa" w:w="2698"/>
            <w:tcBorders>
              <w:top w:val="single" w:color="D1D5DB" w:sz="1"/>
              <w:left w:val="single" w:color="D1D5DB" w:sz="1"/>
              <w:bottom w:val="single" w:color="D1D5DB" w:sz="1"/>
              <w:right w:val="single" w:color="D1D5DB" w:sz="1"/>
            </w:tcBorders>
            <w:shd w:fill="FFFBEB" w:val="clear"/>
            <w:tcMar>
              <w:top w:type="dxa" w:w="80"/>
              <w:left w:type="dxa" w:w="160"/>
              <w:bottom w:type="dxa" w:w="80"/>
              <w:right w:type="dxa" w:w="160"/>
            </w:tcMar>
            <w:vAlign w:val="center"/>
          </w:tcPr>
          <w:p>
            <w:r>
              <w:rPr>
                <w:rFonts w:ascii="Arial" w:cs="Arial" w:eastAsia="Arial" w:hAnsi="Arial"/>
                <w:color w:val="374151"/>
                <w:sz w:val="18"/>
                <w:szCs w:val="18"/>
              </w:rPr>
              <w:t xml:space="preserve">Status</w:t>
            </w:r>
          </w:p>
        </w:tc>
        <w:tc>
          <w:tcPr>
            <w:tcW w:type="dxa" w:w="6939"/>
            <w:tcBorders>
              <w:top w:val="single" w:color="D1D5DB" w:sz="1"/>
              <w:left w:val="single" w:color="D1D5DB" w:sz="1"/>
              <w:bottom w:val="single" w:color="D1D5DB" w:sz="1"/>
              <w:right w:val="single" w:color="D1D5DB" w:sz="1"/>
            </w:tcBorders>
            <w:shd w:fill="FFFBEB" w:val="clear"/>
            <w:tcMar>
              <w:top w:type="dxa" w:w="80"/>
              <w:left w:type="dxa" w:w="160"/>
              <w:bottom w:type="dxa" w:w="80"/>
              <w:right w:type="dxa" w:w="160"/>
            </w:tcMar>
            <w:vAlign w:val="center"/>
          </w:tcPr>
          <w:p>
            <w:r>
              <w:rPr>
                <w:rFonts w:ascii="Arial" w:cs="Arial" w:eastAsia="Arial" w:hAnsi="Arial"/>
                <w:color w:val="374151"/>
                <w:sz w:val="18"/>
                <w:szCs w:val="18"/>
              </w:rPr>
              <w:t xml:space="preserve">To be incorporated; investment round closing subject to escrow and simultaneous notary signature mechanism</w:t>
            </w:r>
          </w:p>
        </w:tc>
      </w:tr>
    </w:tbl>
    <w:p>
      <w:pPr>
        <w:spacing w:after="0" w:before="80"/>
      </w:pPr>
      <w:r>
        <w:t xml:space="preserve"/>
      </w:r>
    </w:p>
    <w:p>
      <w:pPr>
        <w:shd w:fill="E6F4F1" w:val="clear"/>
        <w:spacing w:after="80" w:before="160"/>
      </w:pPr>
      <w:r>
        <w:rPr>
          <w:rFonts w:ascii="Arial" w:cs="Arial" w:eastAsia="Arial" w:hAnsi="Arial"/>
          <w:b/>
          <w:bCs/>
          <w:color w:val="0A1628"/>
          <w:sz w:val="24"/>
          <w:szCs w:val="24"/>
        </w:rPr>
        <w:t xml:space="preserve">  ENTITY 3 — Pixoul Tech SARL</w:t>
      </w:r>
      <w:r>
        <w:rPr>
          <w:rFonts w:ascii="Arial" w:cs="Arial" w:eastAsia="Arial" w:hAnsi="Arial"/>
          <w:color w:val="6B7280"/>
          <w:sz w:val="18"/>
          <w:szCs w:val="18"/>
        </w:rPr>
        <w:t xml:space="preserve">   |   Casablanca, Morocco   |   100% — Toufic Assaf</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98"/>
        <w:gridCol w:w="6939"/>
      </w:tblGrid>
      <w:tr>
        <w:tc>
          <w:tcPr>
            <w:tcW w:type="dxa" w:w="2698"/>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Purpose</w:t>
            </w:r>
          </w:p>
        </w:tc>
        <w:tc>
          <w:tcPr>
            <w:tcW w:type="dxa" w:w="693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Standalone commercial entity — supply, installation, leasing, and maintenance of technology equipment for schools, universities, corporates, and government</w:t>
            </w:r>
          </w:p>
        </w:tc>
      </w:tr>
      <w:tr>
        <w:tc>
          <w:tcPr>
            <w:tcW w:type="dxa" w:w="2698"/>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Jurisdiction</w:t>
            </w:r>
          </w:p>
        </w:tc>
        <w:tc>
          <w:tcPr>
            <w:tcW w:type="dxa" w:w="693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Morocco — standard SARL</w:t>
            </w:r>
          </w:p>
        </w:tc>
      </w:tr>
      <w:tr>
        <w:tc>
          <w:tcPr>
            <w:tcW w:type="dxa" w:w="2698"/>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Ownership</w:t>
            </w:r>
          </w:p>
        </w:tc>
        <w:tc>
          <w:tcPr>
            <w:tcW w:type="dxa" w:w="693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100% Toufic Assaf — no Medina Lab equity connection whatsoever</w:t>
            </w:r>
          </w:p>
        </w:tc>
      </w:tr>
      <w:tr>
        <w:tc>
          <w:tcPr>
            <w:tcW w:type="dxa" w:w="2698"/>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Relationship to group</w:t>
            </w:r>
          </w:p>
        </w:tc>
        <w:tc>
          <w:tcPr>
            <w:tcW w:type="dxa" w:w="693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Supplies hardware and equipment to The Medina Lab at cost under intercompany agreement — see Section 06</w:t>
            </w:r>
          </w:p>
        </w:tc>
      </w:tr>
      <w:tr>
        <w:tc>
          <w:tcPr>
            <w:tcW w:type="dxa" w:w="2698"/>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First contracts (internal)</w:t>
            </w:r>
          </w:p>
        </w:tc>
        <w:tc>
          <w:tcPr>
            <w:tcW w:type="dxa" w:w="693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Medina Lab academy labs | SkyMorocco VR simulator hardware | Museum AV systems</w:t>
            </w:r>
          </w:p>
        </w:tc>
      </w:tr>
      <w:tr>
        <w:tc>
          <w:tcPr>
            <w:tcW w:type="dxa" w:w="2698"/>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External customers</w:t>
            </w:r>
          </w:p>
        </w:tc>
        <w:tc>
          <w:tcPr>
            <w:tcW w:type="dxa" w:w="693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K-12 schools | Universities | Corporates | Government | Ministry of Education | Hotels | Cultural centers | Hospitals</w:t>
            </w:r>
          </w:p>
        </w:tc>
      </w:tr>
      <w:tr>
        <w:tc>
          <w:tcPr>
            <w:tcW w:type="dxa" w:w="2698"/>
            <w:tcBorders>
              <w:top w:val="single" w:color="D1D5DB" w:sz="1"/>
              <w:left w:val="single" w:color="D1D5DB" w:sz="1"/>
              <w:bottom w:val="single" w:color="D1D5DB" w:sz="1"/>
              <w:right w:val="single" w:color="D1D5DB" w:sz="1"/>
            </w:tcBorders>
            <w:shd w:fill="FFFBEB" w:val="clear"/>
            <w:tcMar>
              <w:top w:type="dxa" w:w="80"/>
              <w:left w:type="dxa" w:w="160"/>
              <w:bottom w:type="dxa" w:w="80"/>
              <w:right w:type="dxa" w:w="160"/>
            </w:tcMar>
            <w:vAlign w:val="center"/>
          </w:tcPr>
          <w:p>
            <w:r>
              <w:rPr>
                <w:rFonts w:ascii="Arial" w:cs="Arial" w:eastAsia="Arial" w:hAnsi="Arial"/>
                <w:color w:val="374151"/>
                <w:sz w:val="18"/>
                <w:szCs w:val="18"/>
              </w:rPr>
              <w:t xml:space="preserve">Status</w:t>
            </w:r>
          </w:p>
        </w:tc>
        <w:tc>
          <w:tcPr>
            <w:tcW w:type="dxa" w:w="6939"/>
            <w:tcBorders>
              <w:top w:val="single" w:color="D1D5DB" w:sz="1"/>
              <w:left w:val="single" w:color="D1D5DB" w:sz="1"/>
              <w:bottom w:val="single" w:color="D1D5DB" w:sz="1"/>
              <w:right w:val="single" w:color="D1D5DB" w:sz="1"/>
            </w:tcBorders>
            <w:shd w:fill="FFFBEB" w:val="clear"/>
            <w:tcMar>
              <w:top w:type="dxa" w:w="80"/>
              <w:left w:type="dxa" w:w="160"/>
              <w:bottom w:type="dxa" w:w="80"/>
              <w:right w:type="dxa" w:w="160"/>
            </w:tcMar>
            <w:vAlign w:val="center"/>
          </w:tcPr>
          <w:p>
            <w:r>
              <w:rPr>
                <w:rFonts w:ascii="Arial" w:cs="Arial" w:eastAsia="Arial" w:hAnsi="Arial"/>
                <w:color w:val="374151"/>
                <w:sz w:val="18"/>
                <w:szCs w:val="18"/>
              </w:rPr>
              <w:t xml:space="preserve">To be incorporated — registration to proceed immediately</w:t>
            </w:r>
          </w:p>
        </w:tc>
      </w:tr>
    </w:tbl>
    <w:p>
      <w:pPr>
        <w:spacing w:after="0" w:before="160"/>
      </w:pPr>
      <w:r>
        <w:t xml:space="preserve"/>
      </w:r>
    </w:p>
    <w:p>
      <w:pPr>
        <w:pBdr>
          <w:bottom w:val="single" w:color="D1D5DB" w:sz="4"/>
        </w:pBdr>
        <w:spacing w:after="200" w:before="200"/>
      </w:pPr>
      <w:r>
        <w:t xml:space="preserve"/>
      </w:r>
    </w:p>
    <w:p>
      <w:pPr>
        <w:shd w:fill="0A1628" w:val="clear"/>
        <w:spacing w:after="120" w:before="400"/>
      </w:pPr>
      <w:r>
        <w:rPr>
          <w:rFonts w:ascii="Arial" w:cs="Arial" w:eastAsia="Arial" w:hAnsi="Arial"/>
          <w:b/>
          <w:bCs/>
          <w:color w:val="C8922A"/>
          <w:sz w:val="22"/>
          <w:szCs w:val="22"/>
        </w:rPr>
        <w:t xml:space="preserve">  04  </w:t>
      </w:r>
      <w:r>
        <w:rPr>
          <w:rFonts w:ascii="Arial" w:cs="Arial" w:eastAsia="Arial" w:hAnsi="Arial"/>
          <w:b/>
          <w:bCs/>
          <w:color w:val="FFFFFF"/>
          <w:sz w:val="22"/>
          <w:szCs w:val="22"/>
        </w:rPr>
        <w:t xml:space="preserve">  Ownership Summary Table</w:t>
      </w:r>
    </w:p>
    <w:p>
      <w:pPr>
        <w:spacing w:after="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98"/>
        <w:gridCol w:w="1734"/>
        <w:gridCol w:w="1734"/>
        <w:gridCol w:w="1734"/>
        <w:gridCol w:w="1734"/>
      </w:tblGrid>
      <w:tr>
        <w:trPr>
          <w:tblHeader/>
        </w:trPr>
        <w:tc>
          <w:tcPr>
            <w:tcW w:type="dxa" w:w="2698"/>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Entity</w:t>
            </w:r>
          </w:p>
        </w:tc>
        <w:tc>
          <w:tcPr>
            <w:tcW w:type="dxa" w:w="1734"/>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Founder %</w:t>
            </w:r>
          </w:p>
        </w:tc>
        <w:tc>
          <w:tcPr>
            <w:tcW w:type="dxa" w:w="1734"/>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R1 Investor %</w:t>
            </w:r>
          </w:p>
        </w:tc>
        <w:tc>
          <w:tcPr>
            <w:tcW w:type="dxa" w:w="1734"/>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External</w:t>
            </w:r>
          </w:p>
        </w:tc>
        <w:tc>
          <w:tcPr>
            <w:tcW w:type="dxa" w:w="1734"/>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Jurisdiction</w:t>
            </w:r>
          </w:p>
        </w:tc>
      </w:tr>
      <w:tr>
        <w:tc>
          <w:tcPr>
            <w:tcW w:type="dxa" w:w="2698"/>
            <w:tcBorders>
              <w:top w:val="single" w:color="D1D5DB" w:sz="1"/>
              <w:left w:val="single" w:color="D1D5DB" w:sz="1"/>
              <w:bottom w:val="single" w:color="D1D5DB" w:sz="1"/>
              <w:right w:val="single" w:color="D1D5DB" w:sz="1"/>
            </w:tcBorders>
            <w:shd w:fill="FFF8ED" w:val="clear"/>
            <w:tcMar>
              <w:top w:type="dxa" w:w="80"/>
              <w:left w:type="dxa" w:w="160"/>
              <w:bottom w:type="dxa" w:w="80"/>
              <w:right w:type="dxa" w:w="160"/>
            </w:tcMar>
            <w:vAlign w:val="center"/>
          </w:tcPr>
          <w:p>
            <w:r>
              <w:rPr>
                <w:rFonts w:ascii="Arial" w:cs="Arial" w:eastAsia="Arial" w:hAnsi="Arial"/>
                <w:b/>
                <w:bCs/>
                <w:color w:val="0A1628"/>
                <w:sz w:val="18"/>
                <w:szCs w:val="18"/>
              </w:rPr>
              <w:t xml:space="preserve">Pixoul Holdings SARL</w:t>
            </w:r>
          </w:p>
        </w:tc>
        <w:tc>
          <w:tcPr>
            <w:tcW w:type="dxa" w:w="1734"/>
            <w:tcBorders>
              <w:top w:val="single" w:color="D1D5DB" w:sz="1"/>
              <w:left w:val="single" w:color="D1D5DB" w:sz="1"/>
              <w:bottom w:val="single" w:color="D1D5DB" w:sz="1"/>
              <w:right w:val="single" w:color="D1D5DB" w:sz="1"/>
            </w:tcBorders>
            <w:shd w:fill="FFF8ED" w:val="clear"/>
            <w:tcMar>
              <w:top w:type="dxa" w:w="80"/>
              <w:left w:type="dxa" w:w="160"/>
              <w:bottom w:type="dxa" w:w="80"/>
              <w:right w:type="dxa" w:w="160"/>
            </w:tcMar>
            <w:vAlign w:val="center"/>
          </w:tcPr>
          <w:p>
            <w:r>
              <w:rPr>
                <w:rFonts w:ascii="Arial" w:cs="Arial" w:eastAsia="Arial" w:hAnsi="Arial"/>
                <w:b/>
                <w:bCs/>
                <w:color w:val="16A34A"/>
                <w:sz w:val="18"/>
                <w:szCs w:val="18"/>
              </w:rPr>
              <w:t xml:space="preserve">100%</w:t>
            </w:r>
          </w:p>
        </w:tc>
        <w:tc>
          <w:tcPr>
            <w:tcW w:type="dxa" w:w="1734"/>
            <w:tcBorders>
              <w:top w:val="single" w:color="D1D5DB" w:sz="1"/>
              <w:left w:val="single" w:color="D1D5DB" w:sz="1"/>
              <w:bottom w:val="single" w:color="D1D5DB" w:sz="1"/>
              <w:right w:val="single" w:color="D1D5DB" w:sz="1"/>
            </w:tcBorders>
            <w:shd w:fill="FFF8ED" w:val="clear"/>
            <w:tcMar>
              <w:top w:type="dxa" w:w="80"/>
              <w:left w:type="dxa" w:w="160"/>
              <w:bottom w:type="dxa" w:w="80"/>
              <w:right w:type="dxa" w:w="160"/>
            </w:tcMar>
            <w:vAlign w:val="center"/>
          </w:tcPr>
          <w:p>
            <w:r>
              <w:rPr>
                <w:rFonts w:ascii="Arial" w:cs="Arial" w:eastAsia="Arial" w:hAnsi="Arial"/>
                <w:b/>
                <w:bCs/>
                <w:color w:val="6B7280"/>
                <w:sz w:val="18"/>
                <w:szCs w:val="18"/>
              </w:rPr>
              <w:t xml:space="preserve">—</w:t>
            </w:r>
          </w:p>
        </w:tc>
        <w:tc>
          <w:tcPr>
            <w:tcW w:type="dxa" w:w="1734"/>
            <w:tcBorders>
              <w:top w:val="single" w:color="D1D5DB" w:sz="1"/>
              <w:left w:val="single" w:color="D1D5DB" w:sz="1"/>
              <w:bottom w:val="single" w:color="D1D5DB" w:sz="1"/>
              <w:right w:val="single" w:color="D1D5DB" w:sz="1"/>
            </w:tcBorders>
            <w:shd w:fill="FFF8ED" w:val="clear"/>
            <w:tcMar>
              <w:top w:type="dxa" w:w="80"/>
              <w:left w:type="dxa" w:w="160"/>
              <w:bottom w:type="dxa" w:w="80"/>
              <w:right w:type="dxa" w:w="160"/>
            </w:tcMar>
            <w:vAlign w:val="center"/>
          </w:tcPr>
          <w:p>
            <w:r>
              <w:rPr>
                <w:rFonts w:ascii="Arial" w:cs="Arial" w:eastAsia="Arial" w:hAnsi="Arial"/>
                <w:b/>
                <w:bCs/>
                <w:color w:val="6B7280"/>
                <w:sz w:val="18"/>
                <w:szCs w:val="18"/>
              </w:rPr>
              <w:t xml:space="preserve">—</w:t>
            </w:r>
          </w:p>
        </w:tc>
        <w:tc>
          <w:tcPr>
            <w:tcW w:type="dxa" w:w="1734"/>
            <w:tcBorders>
              <w:top w:val="single" w:color="D1D5DB" w:sz="1"/>
              <w:left w:val="single" w:color="D1D5DB" w:sz="1"/>
              <w:bottom w:val="single" w:color="D1D5DB" w:sz="1"/>
              <w:right w:val="single" w:color="D1D5DB" w:sz="1"/>
            </w:tcBorders>
            <w:shd w:fill="FFF8ED" w:val="clear"/>
            <w:tcMar>
              <w:top w:type="dxa" w:w="80"/>
              <w:left w:type="dxa" w:w="160"/>
              <w:bottom w:type="dxa" w:w="80"/>
              <w:right w:type="dxa" w:w="160"/>
            </w:tcMar>
            <w:vAlign w:val="center"/>
          </w:tcPr>
          <w:p>
            <w:r>
              <w:rPr>
                <w:rFonts w:ascii="Arial" w:cs="Arial" w:eastAsia="Arial" w:hAnsi="Arial"/>
                <w:b/>
                <w:bCs/>
                <w:color w:val="6B7280"/>
                <w:sz w:val="18"/>
                <w:szCs w:val="18"/>
              </w:rPr>
              <w:t xml:space="preserve">CFC Morocco</w:t>
            </w:r>
          </w:p>
        </w:tc>
      </w:tr>
      <w:tr>
        <w:tc>
          <w:tcPr>
            <w:tcW w:type="dxa" w:w="2698"/>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b/>
                <w:bCs/>
                <w:color w:val="0A1628"/>
                <w:sz w:val="18"/>
                <w:szCs w:val="18"/>
              </w:rPr>
              <w:t xml:space="preserve">The Medina Lab SARL</w:t>
            </w:r>
          </w:p>
        </w:tc>
        <w:tc>
          <w:tcPr>
            <w:tcW w:type="dxa" w:w="1734"/>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b/>
                <w:bCs/>
                <w:color w:val="16A34A"/>
                <w:sz w:val="18"/>
                <w:szCs w:val="18"/>
              </w:rPr>
              <w:t xml:space="preserve">51%</w:t>
            </w:r>
          </w:p>
        </w:tc>
        <w:tc>
          <w:tcPr>
            <w:tcW w:type="dxa" w:w="1734"/>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b/>
                <w:bCs/>
                <w:color w:val="DC2626"/>
                <w:sz w:val="18"/>
                <w:szCs w:val="18"/>
              </w:rPr>
              <w:t xml:space="preserve">49%</w:t>
            </w:r>
          </w:p>
        </w:tc>
        <w:tc>
          <w:tcPr>
            <w:tcW w:type="dxa" w:w="1734"/>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b/>
                <w:bCs/>
                <w:color w:val="6B7280"/>
                <w:sz w:val="18"/>
                <w:szCs w:val="18"/>
              </w:rPr>
              <w:t xml:space="preserve">—</w:t>
            </w:r>
          </w:p>
        </w:tc>
        <w:tc>
          <w:tcPr>
            <w:tcW w:type="dxa" w:w="1734"/>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b/>
                <w:bCs/>
                <w:color w:val="6B7280"/>
                <w:sz w:val="18"/>
                <w:szCs w:val="18"/>
              </w:rPr>
              <w:t xml:space="preserve">Morocco</w:t>
            </w:r>
          </w:p>
        </w:tc>
      </w:tr>
      <w:tr>
        <w:tc>
          <w:tcPr>
            <w:tcW w:type="dxa" w:w="2698"/>
            <w:tcBorders>
              <w:top w:val="single" w:color="D1D5DB" w:sz="1"/>
              <w:left w:val="single" w:color="D1D5DB" w:sz="1"/>
              <w:bottom w:val="single" w:color="D1D5DB" w:sz="1"/>
              <w:right w:val="single" w:color="D1D5DB" w:sz="1"/>
            </w:tcBorders>
            <w:shd w:fill="F0FAF5" w:val="clear"/>
            <w:tcMar>
              <w:top w:type="dxa" w:w="80"/>
              <w:left w:type="dxa" w:w="160"/>
              <w:bottom w:type="dxa" w:w="80"/>
              <w:right w:type="dxa" w:w="160"/>
            </w:tcMar>
            <w:vAlign w:val="center"/>
          </w:tcPr>
          <w:p>
            <w:r>
              <w:rPr>
                <w:rFonts w:ascii="Arial" w:cs="Arial" w:eastAsia="Arial" w:hAnsi="Arial"/>
                <w:b/>
                <w:bCs/>
                <w:color w:val="0A1628"/>
                <w:sz w:val="18"/>
                <w:szCs w:val="18"/>
              </w:rPr>
              <w:t xml:space="preserve">Pixoul Tech SARL</w:t>
            </w:r>
          </w:p>
        </w:tc>
        <w:tc>
          <w:tcPr>
            <w:tcW w:type="dxa" w:w="1734"/>
            <w:tcBorders>
              <w:top w:val="single" w:color="D1D5DB" w:sz="1"/>
              <w:left w:val="single" w:color="D1D5DB" w:sz="1"/>
              <w:bottom w:val="single" w:color="D1D5DB" w:sz="1"/>
              <w:right w:val="single" w:color="D1D5DB" w:sz="1"/>
            </w:tcBorders>
            <w:shd w:fill="F0FAF5" w:val="clear"/>
            <w:tcMar>
              <w:top w:type="dxa" w:w="80"/>
              <w:left w:type="dxa" w:w="160"/>
              <w:bottom w:type="dxa" w:w="80"/>
              <w:right w:type="dxa" w:w="160"/>
            </w:tcMar>
            <w:vAlign w:val="center"/>
          </w:tcPr>
          <w:p>
            <w:r>
              <w:rPr>
                <w:rFonts w:ascii="Arial" w:cs="Arial" w:eastAsia="Arial" w:hAnsi="Arial"/>
                <w:b/>
                <w:bCs/>
                <w:color w:val="16A34A"/>
                <w:sz w:val="18"/>
                <w:szCs w:val="18"/>
              </w:rPr>
              <w:t xml:space="preserve">100%</w:t>
            </w:r>
          </w:p>
        </w:tc>
        <w:tc>
          <w:tcPr>
            <w:tcW w:type="dxa" w:w="1734"/>
            <w:tcBorders>
              <w:top w:val="single" w:color="D1D5DB" w:sz="1"/>
              <w:left w:val="single" w:color="D1D5DB" w:sz="1"/>
              <w:bottom w:val="single" w:color="D1D5DB" w:sz="1"/>
              <w:right w:val="single" w:color="D1D5DB" w:sz="1"/>
            </w:tcBorders>
            <w:shd w:fill="F0FAF5" w:val="clear"/>
            <w:tcMar>
              <w:top w:type="dxa" w:w="80"/>
              <w:left w:type="dxa" w:w="160"/>
              <w:bottom w:type="dxa" w:w="80"/>
              <w:right w:type="dxa" w:w="160"/>
            </w:tcMar>
            <w:vAlign w:val="center"/>
          </w:tcPr>
          <w:p>
            <w:r>
              <w:rPr>
                <w:rFonts w:ascii="Arial" w:cs="Arial" w:eastAsia="Arial" w:hAnsi="Arial"/>
                <w:b/>
                <w:bCs/>
                <w:color w:val="6B7280"/>
                <w:sz w:val="18"/>
                <w:szCs w:val="18"/>
              </w:rPr>
              <w:t xml:space="preserve">—</w:t>
            </w:r>
          </w:p>
        </w:tc>
        <w:tc>
          <w:tcPr>
            <w:tcW w:type="dxa" w:w="1734"/>
            <w:tcBorders>
              <w:top w:val="single" w:color="D1D5DB" w:sz="1"/>
              <w:left w:val="single" w:color="D1D5DB" w:sz="1"/>
              <w:bottom w:val="single" w:color="D1D5DB" w:sz="1"/>
              <w:right w:val="single" w:color="D1D5DB" w:sz="1"/>
            </w:tcBorders>
            <w:shd w:fill="F0FAF5" w:val="clear"/>
            <w:tcMar>
              <w:top w:type="dxa" w:w="80"/>
              <w:left w:type="dxa" w:w="160"/>
              <w:bottom w:type="dxa" w:w="80"/>
              <w:right w:type="dxa" w:w="160"/>
            </w:tcMar>
            <w:vAlign w:val="center"/>
          </w:tcPr>
          <w:p>
            <w:r>
              <w:rPr>
                <w:rFonts w:ascii="Arial" w:cs="Arial" w:eastAsia="Arial" w:hAnsi="Arial"/>
                <w:b/>
                <w:bCs/>
                <w:color w:val="6B7280"/>
                <w:sz w:val="18"/>
                <w:szCs w:val="18"/>
              </w:rPr>
              <w:t xml:space="preserve">—</w:t>
            </w:r>
          </w:p>
        </w:tc>
        <w:tc>
          <w:tcPr>
            <w:tcW w:type="dxa" w:w="1734"/>
            <w:tcBorders>
              <w:top w:val="single" w:color="D1D5DB" w:sz="1"/>
              <w:left w:val="single" w:color="D1D5DB" w:sz="1"/>
              <w:bottom w:val="single" w:color="D1D5DB" w:sz="1"/>
              <w:right w:val="single" w:color="D1D5DB" w:sz="1"/>
            </w:tcBorders>
            <w:shd w:fill="F0FAF5" w:val="clear"/>
            <w:tcMar>
              <w:top w:type="dxa" w:w="80"/>
              <w:left w:type="dxa" w:w="160"/>
              <w:bottom w:type="dxa" w:w="80"/>
              <w:right w:type="dxa" w:w="160"/>
            </w:tcMar>
            <w:vAlign w:val="center"/>
          </w:tcPr>
          <w:p>
            <w:r>
              <w:rPr>
                <w:rFonts w:ascii="Arial" w:cs="Arial" w:eastAsia="Arial" w:hAnsi="Arial"/>
                <w:b/>
                <w:bCs/>
                <w:color w:val="6B7280"/>
                <w:sz w:val="18"/>
                <w:szCs w:val="18"/>
              </w:rPr>
              <w:t xml:space="preserve">Morocco</w:t>
            </w:r>
          </w:p>
        </w:tc>
      </w:tr>
      <w:tr>
        <w:tc>
          <w:tcPr>
            <w:tcW w:type="dxa" w:w="2698"/>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b/>
                <w:bCs/>
                <w:color w:val="0A1628"/>
                <w:sz w:val="18"/>
                <w:szCs w:val="18"/>
              </w:rPr>
              <w:t xml:space="preserve">Spin-outs (x9, future)</w:t>
            </w:r>
          </w:p>
        </w:tc>
        <w:tc>
          <w:tcPr>
            <w:tcW w:type="dxa" w:w="1734"/>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b/>
                <w:bCs/>
                <w:color w:val="16A34A"/>
                <w:sz w:val="18"/>
                <w:szCs w:val="18"/>
              </w:rPr>
              <w:t xml:space="preserve">60–80%</w:t>
            </w:r>
          </w:p>
        </w:tc>
        <w:tc>
          <w:tcPr>
            <w:tcW w:type="dxa" w:w="1734"/>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b/>
                <w:bCs/>
                <w:color w:val="6B7280"/>
                <w:sz w:val="18"/>
                <w:szCs w:val="18"/>
              </w:rPr>
              <w:t xml:space="preserve">—*</w:t>
            </w:r>
          </w:p>
        </w:tc>
        <w:tc>
          <w:tcPr>
            <w:tcW w:type="dxa" w:w="1734"/>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b/>
                <w:bCs/>
                <w:color w:val="6B7280"/>
                <w:sz w:val="18"/>
                <w:szCs w:val="18"/>
              </w:rPr>
              <w:t xml:space="preserve">20–40%</w:t>
            </w:r>
          </w:p>
        </w:tc>
        <w:tc>
          <w:tcPr>
            <w:tcW w:type="dxa" w:w="1734"/>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b/>
                <w:bCs/>
                <w:color w:val="6B7280"/>
                <w:sz w:val="18"/>
                <w:szCs w:val="18"/>
              </w:rPr>
              <w:t xml:space="preserve">Morocco / TBD</w:t>
            </w:r>
          </w:p>
        </w:tc>
      </w:tr>
    </w:tbl>
    <w:p>
      <w:pPr>
        <w:spacing w:after="0" w:before="80"/>
      </w:pPr>
      <w:r>
        <w:t xml:space="preserve"/>
      </w:r>
    </w:p>
    <w:p>
      <w:pPr>
        <w:spacing w:after="60" w:before="60"/>
        <w:ind w:left="360"/>
      </w:pPr>
      <w:r>
        <w:rPr>
          <w:rFonts w:ascii="Arial" w:cs="Arial" w:eastAsia="Arial" w:hAnsi="Arial"/>
          <w:i/>
          <w:iCs/>
          <w:color w:val="6B7280"/>
          <w:sz w:val="18"/>
          <w:szCs w:val="18"/>
        </w:rPr>
        <w:t xml:space="preserve">— * R1 Investor has zero equity in any spin-out entity. Revenue carve-out only — see Section 07.</w:t>
      </w:r>
    </w:p>
    <w:p>
      <w:pPr>
        <w:spacing w:after="0" w:before="160"/>
      </w:pPr>
      <w:r>
        <w:t xml:space="preserve"/>
      </w:r>
    </w:p>
    <w:p>
      <w:pPr>
        <w:pBdr>
          <w:bottom w:val="single" w:color="D1D5DB" w:sz="4"/>
        </w:pBdr>
        <w:spacing w:after="200" w:before="200"/>
      </w:pPr>
      <w:r>
        <w:t xml:space="preserve"/>
      </w:r>
    </w:p>
    <w:p>
      <w:pPr>
        <w:shd w:fill="0A1628" w:val="clear"/>
        <w:spacing w:after="120" w:before="400"/>
      </w:pPr>
      <w:r>
        <w:rPr>
          <w:rFonts w:ascii="Arial" w:cs="Arial" w:eastAsia="Arial" w:hAnsi="Arial"/>
          <w:b/>
          <w:bCs/>
          <w:color w:val="C8922A"/>
          <w:sz w:val="22"/>
          <w:szCs w:val="22"/>
        </w:rPr>
        <w:t xml:space="preserve">  05  </w:t>
      </w:r>
      <w:r>
        <w:rPr>
          <w:rFonts w:ascii="Arial" w:cs="Arial" w:eastAsia="Arial" w:hAnsi="Arial"/>
          <w:b/>
          <w:bCs/>
          <w:color w:val="FFFFFF"/>
          <w:sz w:val="22"/>
          <w:szCs w:val="22"/>
        </w:rPr>
        <w:t xml:space="preserve">  Intellectual Property Schedule — Pixoul Holdings SARL</w:t>
      </w:r>
    </w:p>
    <w:p>
      <w:pPr>
        <w:spacing w:after="0" w:before="80"/>
      </w:pPr>
      <w:r>
        <w:t xml:space="preserve"/>
      </w:r>
    </w:p>
    <w:p>
      <w:pPr>
        <w:spacing w:after="80" w:before="80"/>
      </w:pPr>
      <w:r>
        <w:rPr>
          <w:rFonts w:ascii="Arial" w:cs="Arial" w:eastAsia="Arial" w:hAnsi="Arial"/>
          <w:b w:val="false"/>
          <w:bCs w:val="false"/>
          <w:color w:val="374151"/>
          <w:sz w:val="20"/>
          <w:szCs w:val="20"/>
        </w:rPr>
        <w:t xml:space="preserve">All intellectual property listed below shall be formally assigned to Pixoul Holdings SARL prior to the closing of the R1 investment round in The Medina Lab SARL. Counsel is instructed to prepare the appropriate assignment agreements.</w:t>
      </w:r>
    </w:p>
    <w:p>
      <w:pPr>
        <w:spacing w:after="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1927"/>
        <w:gridCol w:w="1927"/>
        <w:gridCol w:w="1927"/>
        <w:gridCol w:w="1734"/>
      </w:tblGrid>
      <w:tr>
        <w:trPr>
          <w:tblHeader/>
        </w:trPr>
        <w:tc>
          <w:tcPr>
            <w:tcW w:type="dxa" w:w="2120"/>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IP Asset</w:t>
            </w:r>
          </w:p>
        </w:tc>
        <w:tc>
          <w:tcPr>
            <w:tcW w:type="dxa" w:w="1927"/>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Type</w:t>
            </w:r>
          </w:p>
        </w:tc>
        <w:tc>
          <w:tcPr>
            <w:tcW w:type="dxa" w:w="1927"/>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Current Owner</w:t>
            </w:r>
          </w:p>
        </w:tc>
        <w:tc>
          <w:tcPr>
            <w:tcW w:type="dxa" w:w="1927"/>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Assigned To</w:t>
            </w:r>
          </w:p>
        </w:tc>
        <w:tc>
          <w:tcPr>
            <w:tcW w:type="dxa" w:w="1734"/>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Licensed To</w:t>
            </w:r>
          </w:p>
        </w:tc>
      </w:tr>
      <w:tr>
        <w:tc>
          <w:tcPr>
            <w:tcW w:type="dxa" w:w="212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Pixoul brand &amp; trademark</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Trademark</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Toufic Assaf (personal)</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734"/>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Medina Lab, all spin-outs</w:t>
            </w:r>
          </w:p>
        </w:tc>
      </w:tr>
      <w:tr>
        <w:tc>
          <w:tcPr>
            <w:tcW w:type="dxa" w:w="212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Medina Lab brand &amp; format</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Trademark / Trade dress</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Toufic Assaf (personal)</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734"/>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Medina Lab SARL</w:t>
            </w:r>
          </w:p>
        </w:tc>
      </w:tr>
      <w:tr>
        <w:tc>
          <w:tcPr>
            <w:tcW w:type="dxa" w:w="212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Pixoul operating playbook</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Trade secret / Know-how</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Pixoul (UAE)</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734"/>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Medina Lab, franchise spin-out</w:t>
            </w:r>
          </w:p>
        </w:tc>
      </w:tr>
      <w:tr>
        <w:tc>
          <w:tcPr>
            <w:tcW w:type="dxa" w:w="212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Academy curriculum &amp; content</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Copyright / IP</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Pixoul (UAE)</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734"/>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Medina Lab, EdTech spin-out</w:t>
            </w:r>
          </w:p>
        </w:tc>
      </w:tr>
      <w:tr>
        <w:tc>
          <w:tcPr>
            <w:tcW w:type="dxa" w:w="212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VR simulator game content</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Copyright / Software</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RobocomVR (UAE)</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734"/>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Medina Lab, SkyMorocco VR</w:t>
            </w:r>
          </w:p>
        </w:tc>
      </w:tr>
      <w:tr>
        <w:tc>
          <w:tcPr>
            <w:tcW w:type="dxa" w:w="212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Museum digital content &amp; IP</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Copyright / Software</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734"/>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Medina Lab SARL</w:t>
            </w:r>
          </w:p>
        </w:tc>
      </w:tr>
      <w:tr>
        <w:tc>
          <w:tcPr>
            <w:tcW w:type="dxa" w:w="212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Technology &amp; systems platform</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Software / Know-how</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734"/>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All group entities</w:t>
            </w:r>
          </w:p>
        </w:tc>
      </w:tr>
      <w:tr>
        <w:tc>
          <w:tcPr>
            <w:tcW w:type="dxa" w:w="212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SkyMorocco VR brand &amp; format</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Trademark / Trade dress</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RobocomVR / Pixoul</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734"/>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SkyMorocco VR network</w:t>
            </w:r>
          </w:p>
        </w:tc>
      </w:tr>
      <w:tr>
        <w:tc>
          <w:tcPr>
            <w:tcW w:type="dxa" w:w="212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Borderless game IP</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Copyright / IP</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Pixoul Holdings SARL</w:t>
            </w:r>
          </w:p>
        </w:tc>
        <w:tc>
          <w:tcPr>
            <w:tcW w:type="dxa" w:w="1734"/>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Game Studio spin-out</w:t>
            </w:r>
          </w:p>
        </w:tc>
      </w:tr>
    </w:tbl>
    <w:p>
      <w:pPr>
        <w:spacing w:after="0" w:before="80"/>
      </w:pPr>
      <w:r>
        <w:t xml:space="preserve"/>
      </w:r>
    </w:p>
    <w:p>
      <w:pPr>
        <w:spacing w:after="60" w:before="60"/>
        <w:ind w:left="360"/>
      </w:pPr>
      <w:r>
        <w:rPr>
          <w:rFonts w:ascii="Arial" w:cs="Arial" w:eastAsia="Arial" w:hAnsi="Arial"/>
          <w:i/>
          <w:iCs/>
          <w:color w:val="6B7280"/>
          <w:sz w:val="18"/>
          <w:szCs w:val="18"/>
        </w:rPr>
        <w:t xml:space="preserve">— Robocom Studios FZ-LLC (UAE) is the current operating parent of RobocomVR. Formal assignment of VR content IP to Pixoul Holdings SARL requires separate assignment agreement and, if applicable, consent of other Robocom shareholders. Cap table: Karim 43% / Toufic 43% / Charbel 4% / Almed 10%.</w:t>
      </w:r>
    </w:p>
    <w:p>
      <w:pPr>
        <w:spacing w:after="0" w:before="80"/>
      </w:pPr>
      <w:r>
        <w:t xml:space="preserve"/>
      </w:r>
    </w:p>
    <w:p>
      <w:pPr>
        <w:spacing w:after="60" w:before="60"/>
        <w:ind w:left="360"/>
      </w:pPr>
      <w:r>
        <w:rPr>
          <w:rFonts w:ascii="Arial" w:cs="Arial" w:eastAsia="Arial" w:hAnsi="Arial"/>
          <w:i/>
          <w:iCs/>
          <w:color w:val="6B7280"/>
          <w:sz w:val="18"/>
          <w:szCs w:val="18"/>
        </w:rPr>
        <w:t xml:space="preserve">— Counsel is instructed to advise on the most efficient mechanism for IP transfer from UAE entities to Pixoul Holdings SARL (CFC), having regard to UAE free zone regulations, Moroccan IP registration requirements, and any withholding tax implications.</w:t>
      </w:r>
    </w:p>
    <w:p>
      <w:pPr>
        <w:spacing w:after="0" w:before="160"/>
      </w:pPr>
      <w:r>
        <w:t xml:space="preserve"/>
      </w:r>
    </w:p>
    <w:p>
      <w:pPr>
        <w:pBdr>
          <w:bottom w:val="single" w:color="D1D5DB" w:sz="4"/>
        </w:pBdr>
        <w:spacing w:after="200" w:before="200"/>
      </w:pPr>
      <w:r>
        <w:t xml:space="preserve"/>
      </w:r>
    </w:p>
    <w:p>
      <w:pPr>
        <w:shd w:fill="0A1628" w:val="clear"/>
        <w:spacing w:after="120" w:before="400"/>
      </w:pPr>
      <w:r>
        <w:rPr>
          <w:rFonts w:ascii="Arial" w:cs="Arial" w:eastAsia="Arial" w:hAnsi="Arial"/>
          <w:b/>
          <w:bCs/>
          <w:color w:val="C8922A"/>
          <w:sz w:val="22"/>
          <w:szCs w:val="22"/>
        </w:rPr>
        <w:t xml:space="preserve">  06  </w:t>
      </w:r>
      <w:r>
        <w:rPr>
          <w:rFonts w:ascii="Arial" w:cs="Arial" w:eastAsia="Arial" w:hAnsi="Arial"/>
          <w:b/>
          <w:bCs/>
          <w:color w:val="FFFFFF"/>
          <w:sz w:val="22"/>
          <w:szCs w:val="22"/>
        </w:rPr>
        <w:t xml:space="preserve">  Intercompany Service &amp; Licensing Agreements</w:t>
      </w:r>
    </w:p>
    <w:p>
      <w:pPr>
        <w:spacing w:after="0" w:before="80"/>
      </w:pPr>
      <w:r>
        <w:t xml:space="preserve"/>
      </w:r>
    </w:p>
    <w:p>
      <w:pPr>
        <w:spacing w:after="80" w:before="80"/>
      </w:pPr>
      <w:r>
        <w:rPr>
          <w:rFonts w:ascii="Arial" w:cs="Arial" w:eastAsia="Arial" w:hAnsi="Arial"/>
          <w:b w:val="false"/>
          <w:bCs w:val="false"/>
          <w:color w:val="374151"/>
          <w:sz w:val="20"/>
          <w:szCs w:val="20"/>
        </w:rPr>
        <w:t xml:space="preserve">Counsel is instructed to draft the following intercompany agreements. All fees shall be at arm's length commercial rates, disclosed to the R1 investor, and subject to annual audit.</w:t>
      </w:r>
    </w:p>
    <w:p>
      <w:pPr>
        <w:spacing w:after="0" w:before="80"/>
      </w:pPr>
      <w:r>
        <w:t xml:space="preserve"/>
      </w:r>
    </w:p>
    <w:p>
      <w:pPr>
        <w:spacing w:after="100" w:before="200"/>
      </w:pPr>
      <w:r>
        <w:rPr>
          <w:rFonts w:ascii="Arial" w:cs="Arial" w:eastAsia="Arial" w:hAnsi="Arial"/>
          <w:b/>
          <w:bCs/>
          <w:color w:val="C8922A"/>
          <w:sz w:val="18"/>
          <w:szCs w:val="18"/>
        </w:rPr>
        <w:t xml:space="preserve">6.1 — Management Services Agreement: Pixoul Holdings → The Medina Lab</w:t>
      </w:r>
    </w:p>
    <w:p>
      <w:pPr>
        <w:spacing w:after="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2409"/>
        <w:gridCol w:w="2409"/>
        <w:gridCol w:w="1927"/>
      </w:tblGrid>
      <w:tr>
        <w:trPr>
          <w:tblHeader/>
        </w:trPr>
        <w:tc>
          <w:tcPr>
            <w:tcW w:type="dxa" w:w="2891"/>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Service</w:t>
            </w:r>
          </w:p>
        </w:tc>
        <w:tc>
          <w:tcPr>
            <w:tcW w:type="dxa" w:w="2409"/>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Fee Structure</w:t>
            </w:r>
          </w:p>
        </w:tc>
        <w:tc>
          <w:tcPr>
            <w:tcW w:type="dxa" w:w="2409"/>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Frequency</w:t>
            </w:r>
          </w:p>
        </w:tc>
        <w:tc>
          <w:tcPr>
            <w:tcW w:type="dxa" w:w="1927"/>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Cap / Note</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Management &amp; operations</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10% of gross revenue</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Monthly</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Pre-agreed; board approval to increase</w:t>
            </w:r>
          </w:p>
        </w:tc>
      </w:tr>
      <w:tr>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Brand &amp; IP licensing (Pixoul)</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3–5% of revenue</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Monthly</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Covers all Pixoul trademarks &amp; format</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VR simulator content license (Robocom IP)</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Annual license fee + update fee per release</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Annual</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Robocom IP licensed via Holdings</w:t>
            </w:r>
          </w:p>
        </w:tc>
      </w:tr>
      <w:tr>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Museum digital content</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Monthly retainer + per new exhibit</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Monthly / project</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Content ownership retained by Holdings</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Curriculum &amp; EdTech IP license</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Included in brand license or separate fee</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Annual</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Covers all academy curriculum IP</w:t>
            </w:r>
          </w:p>
        </w:tc>
      </w:tr>
      <w:tr>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Technology &amp; systems</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USD 5,000–10,000/month</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Monthly</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Covers platform, software, and systems</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Strategic consulting</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Monthly retainer</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Monthly</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Founder's strategic advisory services</w:t>
            </w:r>
          </w:p>
        </w:tc>
      </w:tr>
      <w:tr>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Content development</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Per project</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Project basis</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Custom content for gaming, academy, events</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HR &amp; recruitment</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 of annual salary of placed staff</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Per placement</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Covers recruitment for all departments</w:t>
            </w:r>
          </w:p>
        </w:tc>
      </w:tr>
      <w:tr>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Franchise development</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Fee per new franchise location</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Per location</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Activates on first franchise agreement</w:t>
            </w:r>
          </w:p>
        </w:tc>
      </w:tr>
    </w:tbl>
    <w:p>
      <w:pPr>
        <w:spacing w:after="0" w:before="80"/>
      </w:pPr>
      <w:r>
        <w:t xml:space="preserve"/>
      </w:r>
    </w:p>
    <w:p>
      <w:pPr>
        <w:spacing w:after="60" w:before="60"/>
        <w:ind w:left="360"/>
      </w:pPr>
      <w:r>
        <w:rPr>
          <w:rFonts w:ascii="Arial" w:cs="Arial" w:eastAsia="Arial" w:hAnsi="Arial"/>
          <w:i/>
          <w:iCs/>
          <w:color w:val="6B7280"/>
          <w:sz w:val="18"/>
          <w:szCs w:val="18"/>
        </w:rPr>
        <w:t xml:space="preserve">— All fees above are legitimate operating expenses of The Medina Lab SARL and are deducted before calculation of net profit. The R1 investor's 49% economic interest applies to net profit after all agreed fees. This structure is standard in managed entertainment, hospitality, and real estate transactions globally.</w:t>
      </w:r>
    </w:p>
    <w:p>
      <w:pPr>
        <w:spacing w:after="0" w:before="80"/>
      </w:pPr>
      <w:r>
        <w:t xml:space="preserve"/>
      </w:r>
    </w:p>
    <w:p>
      <w:pPr>
        <w:spacing w:after="60" w:before="60"/>
        <w:ind w:left="360"/>
      </w:pPr>
      <w:r>
        <w:rPr>
          <w:rFonts w:ascii="Arial" w:cs="Arial" w:eastAsia="Arial" w:hAnsi="Arial"/>
          <w:i/>
          <w:iCs/>
          <w:color w:val="6B7280"/>
          <w:sz w:val="18"/>
          <w:szCs w:val="18"/>
        </w:rPr>
        <w:t xml:space="preserve">— Counsel to confirm: (a) arm's length pricing documentation requirements under Moroccan transfer pricing rules; (b) VAT treatment of intercompany services; (c) CFC tax treatment of fee income received by Holdings.</w:t>
      </w:r>
    </w:p>
    <w:p>
      <w:pPr>
        <w:spacing w:after="0" w:before="80"/>
      </w:pPr>
      <w:r>
        <w:t xml:space="preserve"/>
      </w:r>
    </w:p>
    <w:p>
      <w:pPr>
        <w:spacing w:after="100" w:before="200"/>
      </w:pPr>
      <w:r>
        <w:rPr>
          <w:rFonts w:ascii="Arial" w:cs="Arial" w:eastAsia="Arial" w:hAnsi="Arial"/>
          <w:b/>
          <w:bCs/>
          <w:color w:val="C8922A"/>
          <w:sz w:val="18"/>
          <w:szCs w:val="18"/>
        </w:rPr>
        <w:t xml:space="preserve">6.2 — Equipment Supply Agreement: Pixoul Tech → The Medina Lab</w:t>
      </w:r>
    </w:p>
    <w:p>
      <w:pPr>
        <w:spacing w:after="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2409"/>
        <w:gridCol w:w="2409"/>
        <w:gridCol w:w="1927"/>
      </w:tblGrid>
      <w:tr>
        <w:trPr>
          <w:tblHeader/>
        </w:trPr>
        <w:tc>
          <w:tcPr>
            <w:tcW w:type="dxa" w:w="2891"/>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Service / Supply</w:t>
            </w:r>
          </w:p>
        </w:tc>
        <w:tc>
          <w:tcPr>
            <w:tcW w:type="dxa" w:w="2409"/>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Pricing</w:t>
            </w:r>
          </w:p>
        </w:tc>
        <w:tc>
          <w:tcPr>
            <w:tcW w:type="dxa" w:w="2409"/>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Scope</w:t>
            </w:r>
          </w:p>
        </w:tc>
        <w:tc>
          <w:tcPr>
            <w:tcW w:type="dxa" w:w="1927"/>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Note</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Hardware supply &amp; resale</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Cost price (no markup)</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All academy &amp; gaming equipment</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Preferential pricing per intercompany agreement</w:t>
            </w:r>
          </w:p>
        </w:tc>
      </w:tr>
      <w:tr>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VR simulator hardware</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Cost price (no markup)</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SkyMorocco VR units</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Pixoul Tech is the hardware supplier</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Turnkey lab setup &amp; install</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Cost + fixed project fee</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Academy labs, museum AV</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Installation services at cost</w:t>
            </w:r>
          </w:p>
        </w:tc>
      </w:tr>
      <w:tr>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Maintenance contracts</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Annual SLA fee</w:t>
            </w:r>
          </w:p>
        </w:tc>
        <w:tc>
          <w:tcPr>
            <w:tcW w:type="dxa" w:w="2409"/>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All installed equipment</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Preventive &amp; corrective maintenance</w:t>
            </w:r>
          </w:p>
        </w:tc>
      </w:tr>
      <w:tr>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Equipment leasing</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Monthly lease rate</w:t>
            </w:r>
          </w:p>
        </w:tc>
        <w:tc>
          <w:tcPr>
            <w:tcW w:type="dxa" w:w="240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Optional for select items</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Asset remains owned by Pixoul Tech</w:t>
            </w:r>
          </w:p>
        </w:tc>
      </w:tr>
    </w:tbl>
    <w:p>
      <w:pPr>
        <w:spacing w:after="0" w:before="80"/>
      </w:pPr>
      <w:r>
        <w:t xml:space="preserve"/>
      </w:r>
    </w:p>
    <w:p>
      <w:pPr>
        <w:spacing w:after="60" w:before="60"/>
        <w:ind w:left="360"/>
      </w:pPr>
      <w:r>
        <w:rPr>
          <w:rFonts w:ascii="Arial" w:cs="Arial" w:eastAsia="Arial" w:hAnsi="Arial"/>
          <w:i/>
          <w:iCs/>
          <w:color w:val="6B7280"/>
          <w:sz w:val="18"/>
          <w:szCs w:val="18"/>
        </w:rPr>
        <w:t xml:space="preserve">— Pixoul Tech SARL has no equity connection to The Medina Lab SARL whatsoever. The supply relationship is governed solely by the intercompany agreement. Pixoul Tech earns full commercial margins on all external client contracts.</w:t>
      </w:r>
    </w:p>
    <w:p>
      <w:pPr>
        <w:spacing w:after="0" w:before="160"/>
      </w:pPr>
      <w:r>
        <w:t xml:space="preserve"/>
      </w:r>
    </w:p>
    <w:p>
      <w:pPr>
        <w:pBdr>
          <w:bottom w:val="single" w:color="D1D5DB" w:sz="4"/>
        </w:pBdr>
        <w:spacing w:after="200" w:before="200"/>
      </w:pPr>
      <w:r>
        <w:t xml:space="preserve"/>
      </w:r>
    </w:p>
    <w:p>
      <w:pPr>
        <w:shd w:fill="0A1628" w:val="clear"/>
        <w:spacing w:after="120" w:before="400"/>
      </w:pPr>
      <w:r>
        <w:rPr>
          <w:rFonts w:ascii="Arial" w:cs="Arial" w:eastAsia="Arial" w:hAnsi="Arial"/>
          <w:b/>
          <w:bCs/>
          <w:color w:val="C8922A"/>
          <w:sz w:val="22"/>
          <w:szCs w:val="22"/>
        </w:rPr>
        <w:t xml:space="preserve">  07  </w:t>
      </w:r>
      <w:r>
        <w:rPr>
          <w:rFonts w:ascii="Arial" w:cs="Arial" w:eastAsia="Arial" w:hAnsi="Arial"/>
          <w:b/>
          <w:bCs/>
          <w:color w:val="FFFFFF"/>
          <w:sz w:val="22"/>
          <w:szCs w:val="22"/>
        </w:rPr>
        <w:t xml:space="preserve">  Spin-Out Entities &amp; R1 Investor Carve-Out</w:t>
      </w:r>
    </w:p>
    <w:p>
      <w:pPr>
        <w:spacing w:after="0" w:before="80"/>
      </w:pPr>
      <w:r>
        <w:t xml:space="preserve"/>
      </w:r>
    </w:p>
    <w:p>
      <w:pPr>
        <w:spacing w:after="80" w:before="80"/>
      </w:pPr>
      <w:r>
        <w:rPr>
          <w:rFonts w:ascii="Arial" w:cs="Arial" w:eastAsia="Arial" w:hAnsi="Arial"/>
          <w:b w:val="false"/>
          <w:bCs w:val="false"/>
          <w:color w:val="374151"/>
          <w:sz w:val="20"/>
          <w:szCs w:val="20"/>
        </w:rPr>
        <w:t xml:space="preserve">The Medina Lab is designed to generate assets — trained talent, original IP, brand equity, audience data, and an operating playbook — that will form the foundation of up to nine separate spin-out companies. These spin-outs are legally separate entities with their own cap tables and are entirely independent of The Medina Lab SARL.</w:t>
      </w:r>
    </w:p>
    <w:p>
      <w:pPr>
        <w:spacing w:after="0" w:before="80"/>
      </w:pPr>
      <w:r>
        <w:t xml:space="preserve"/>
      </w:r>
    </w:p>
    <w:p>
      <w:pPr>
        <w:spacing w:after="100" w:before="200"/>
      </w:pPr>
      <w:r>
        <w:rPr>
          <w:rFonts w:ascii="Arial" w:cs="Arial" w:eastAsia="Arial" w:hAnsi="Arial"/>
          <w:b/>
          <w:bCs/>
          <w:color w:val="C8922A"/>
          <w:sz w:val="18"/>
          <w:szCs w:val="18"/>
        </w:rPr>
        <w:t xml:space="preserve">7.1 — R1 Investor Position in Spin-Outs</w:t>
      </w:r>
    </w:p>
    <w:p>
      <w:pPr>
        <w:spacing w:after="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rPr>
          <w:tblHeader/>
        </w:trPr>
        <w:tc>
          <w:tcPr>
            <w:tcW w:type="dxa" w:w="4819"/>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R1 Investor — What They Have</w:t>
            </w:r>
          </w:p>
        </w:tc>
        <w:tc>
          <w:tcPr>
            <w:tcW w:type="dxa" w:w="4819"/>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R1 Investor — What They Do NOT Have</w:t>
            </w:r>
          </w:p>
        </w:tc>
      </w:tr>
      <w:tr>
        <w:tc>
          <w:tcPr>
            <w:tcW w:type="dxa" w:w="4819"/>
            <w:tcBorders>
              <w:top w:val="single" w:color="D1D5DB" w:sz="1"/>
              <w:left w:val="single" w:color="D1D5DB" w:sz="1"/>
              <w:bottom w:val="single" w:color="D1D5DB" w:sz="1"/>
              <w:right w:val="single" w:color="D1D5DB" w:sz="1"/>
            </w:tcBorders>
            <w:shd w:fill="F0FAF5" w:val="clear"/>
            <w:tcMar>
              <w:top w:type="dxa" w:w="80"/>
              <w:left w:type="dxa" w:w="160"/>
              <w:bottom w:type="dxa" w:w="80"/>
              <w:right w:type="dxa" w:w="160"/>
            </w:tcMar>
            <w:vAlign w:val="center"/>
          </w:tcPr>
          <w:p>
            <w:r>
              <w:rPr>
                <w:rFonts w:ascii="Arial" w:cs="Arial" w:eastAsia="Arial" w:hAnsi="Arial"/>
                <w:b/>
                <w:bCs/>
                <w:color w:val="16A34A"/>
                <w:sz w:val="18"/>
                <w:szCs w:val="18"/>
              </w:rPr>
              <w:t xml:space="preserve">Revenue carve-out: 2–5% of gross revenue per spin-out</w:t>
            </w:r>
          </w:p>
        </w:tc>
        <w:tc>
          <w:tcPr>
            <w:tcW w:type="dxa" w:w="4819"/>
            <w:tcBorders>
              <w:top w:val="single" w:color="D1D5DB" w:sz="1"/>
              <w:left w:val="single" w:color="D1D5DB" w:sz="1"/>
              <w:bottom w:val="single" w:color="D1D5DB" w:sz="1"/>
              <w:right w:val="single" w:color="D1D5DB" w:sz="1"/>
            </w:tcBorders>
            <w:shd w:fill="F0FAF5" w:val="clear"/>
            <w:tcMar>
              <w:top w:type="dxa" w:w="80"/>
              <w:left w:type="dxa" w:w="160"/>
              <w:bottom w:type="dxa" w:w="80"/>
              <w:right w:type="dxa" w:w="160"/>
            </w:tcMar>
            <w:vAlign w:val="center"/>
          </w:tcPr>
          <w:p>
            <w:r>
              <w:rPr>
                <w:rFonts w:ascii="Arial" w:cs="Arial" w:eastAsia="Arial" w:hAnsi="Arial"/>
                <w:b/>
                <w:bCs/>
                <w:color w:val="DC2626"/>
                <w:sz w:val="18"/>
                <w:szCs w:val="18"/>
              </w:rPr>
              <w:t xml:space="preserve">Zero equity in any spin-out entity</w:t>
            </w:r>
          </w:p>
        </w:tc>
      </w:tr>
      <w:tr>
        <w:tc>
          <w:tcPr>
            <w:tcW w:type="dxa" w:w="481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b/>
                <w:bCs/>
                <w:color w:val="16A34A"/>
                <w:sz w:val="18"/>
                <w:szCs w:val="18"/>
              </w:rPr>
              <w:t xml:space="preserve">Annual cap: USD 500,000 total across all spin-outs</w:t>
            </w:r>
          </w:p>
        </w:tc>
        <w:tc>
          <w:tcPr>
            <w:tcW w:type="dxa" w:w="481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b/>
                <w:bCs/>
                <w:color w:val="DC2626"/>
                <w:sz w:val="18"/>
                <w:szCs w:val="18"/>
              </w:rPr>
              <w:t xml:space="preserve">Zero board or observer rights in spin-outs</w:t>
            </w:r>
          </w:p>
        </w:tc>
      </w:tr>
      <w:tr>
        <w:tc>
          <w:tcPr>
            <w:tcW w:type="dxa" w:w="4819"/>
            <w:tcBorders>
              <w:top w:val="single" w:color="D1D5DB" w:sz="1"/>
              <w:left w:val="single" w:color="D1D5DB" w:sz="1"/>
              <w:bottom w:val="single" w:color="D1D5DB" w:sz="1"/>
              <w:right w:val="single" w:color="D1D5DB" w:sz="1"/>
            </w:tcBorders>
            <w:shd w:fill="F0FAF5" w:val="clear"/>
            <w:tcMar>
              <w:top w:type="dxa" w:w="80"/>
              <w:left w:type="dxa" w:w="160"/>
              <w:bottom w:type="dxa" w:w="80"/>
              <w:right w:type="dxa" w:w="160"/>
            </w:tcMar>
            <w:vAlign w:val="center"/>
          </w:tcPr>
          <w:p>
            <w:r>
              <w:rPr>
                <w:rFonts w:ascii="Arial" w:cs="Arial" w:eastAsia="Arial" w:hAnsi="Arial"/>
                <w:b/>
                <w:bCs/>
                <w:color w:val="16A34A"/>
                <w:sz w:val="18"/>
                <w:szCs w:val="18"/>
              </w:rPr>
              <w:t xml:space="preserve">Service benefit: spin-outs serve flagship at cost or free, improving investor's EBITDA yield</w:t>
            </w:r>
          </w:p>
        </w:tc>
        <w:tc>
          <w:tcPr>
            <w:tcW w:type="dxa" w:w="4819"/>
            <w:tcBorders>
              <w:top w:val="single" w:color="D1D5DB" w:sz="1"/>
              <w:left w:val="single" w:color="D1D5DB" w:sz="1"/>
              <w:bottom w:val="single" w:color="D1D5DB" w:sz="1"/>
              <w:right w:val="single" w:color="D1D5DB" w:sz="1"/>
            </w:tcBorders>
            <w:shd w:fill="F0FAF5" w:val="clear"/>
            <w:tcMar>
              <w:top w:type="dxa" w:w="80"/>
              <w:left w:type="dxa" w:w="160"/>
              <w:bottom w:type="dxa" w:w="80"/>
              <w:right w:type="dxa" w:w="160"/>
            </w:tcMar>
            <w:vAlign w:val="center"/>
          </w:tcPr>
          <w:p>
            <w:r>
              <w:rPr>
                <w:rFonts w:ascii="Arial" w:cs="Arial" w:eastAsia="Arial" w:hAnsi="Arial"/>
                <w:b/>
                <w:bCs/>
                <w:color w:val="DC2626"/>
                <w:sz w:val="18"/>
                <w:szCs w:val="18"/>
              </w:rPr>
              <w:t xml:space="preserve">Zero pro-rata rights in spin-out funding rounds</w:t>
            </w:r>
          </w:p>
        </w:tc>
      </w:tr>
      <w:tr>
        <w:tc>
          <w:tcPr>
            <w:tcW w:type="dxa" w:w="481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b/>
                <w:bCs/>
                <w:color w:val="6B7280"/>
                <w:sz w:val="18"/>
                <w:szCs w:val="18"/>
              </w:rPr>
              <w:t xml:space="preserve"/>
            </w:r>
          </w:p>
        </w:tc>
        <w:tc>
          <w:tcPr>
            <w:tcW w:type="dxa" w:w="4819"/>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b/>
                <w:bCs/>
                <w:color w:val="DC2626"/>
                <w:sz w:val="18"/>
                <w:szCs w:val="18"/>
              </w:rPr>
              <w:t xml:space="preserve">Zero first look or right of first refusal in spin-outs</w:t>
            </w:r>
          </w:p>
        </w:tc>
      </w:tr>
      <w:tr>
        <w:tc>
          <w:tcPr>
            <w:tcW w:type="dxa" w:w="4819"/>
            <w:tcBorders>
              <w:top w:val="single" w:color="D1D5DB" w:sz="1"/>
              <w:left w:val="single" w:color="D1D5DB" w:sz="1"/>
              <w:bottom w:val="single" w:color="D1D5DB" w:sz="1"/>
              <w:right w:val="single" w:color="D1D5DB" w:sz="1"/>
            </w:tcBorders>
            <w:shd w:fill="F0FAF5" w:val="clear"/>
            <w:tcMar>
              <w:top w:type="dxa" w:w="80"/>
              <w:left w:type="dxa" w:w="160"/>
              <w:bottom w:type="dxa" w:w="80"/>
              <w:right w:type="dxa" w:w="160"/>
            </w:tcMar>
            <w:vAlign w:val="center"/>
          </w:tcPr>
          <w:p>
            <w:r>
              <w:rPr>
                <w:rFonts w:ascii="Arial" w:cs="Arial" w:eastAsia="Arial" w:hAnsi="Arial"/>
                <w:b/>
                <w:bCs/>
                <w:color w:val="6B7280"/>
                <w:sz w:val="18"/>
                <w:szCs w:val="18"/>
              </w:rPr>
              <w:t xml:space="preserve"/>
            </w:r>
          </w:p>
        </w:tc>
        <w:tc>
          <w:tcPr>
            <w:tcW w:type="dxa" w:w="4819"/>
            <w:tcBorders>
              <w:top w:val="single" w:color="D1D5DB" w:sz="1"/>
              <w:left w:val="single" w:color="D1D5DB" w:sz="1"/>
              <w:bottom w:val="single" w:color="D1D5DB" w:sz="1"/>
              <w:right w:val="single" w:color="D1D5DB" w:sz="1"/>
            </w:tcBorders>
            <w:shd w:fill="F0FAF5" w:val="clear"/>
            <w:tcMar>
              <w:top w:type="dxa" w:w="80"/>
              <w:left w:type="dxa" w:w="160"/>
              <w:bottom w:type="dxa" w:w="80"/>
              <w:right w:type="dxa" w:w="160"/>
            </w:tcMar>
            <w:vAlign w:val="center"/>
          </w:tcPr>
          <w:p>
            <w:r>
              <w:rPr>
                <w:rFonts w:ascii="Arial" w:cs="Arial" w:eastAsia="Arial" w:hAnsi="Arial"/>
                <w:b/>
                <w:bCs/>
                <w:color w:val="DC2626"/>
                <w:sz w:val="18"/>
                <w:szCs w:val="18"/>
              </w:rPr>
              <w:t xml:space="preserve">Zero consent rights over spin-out formation or operation</w:t>
            </w:r>
          </w:p>
        </w:tc>
      </w:tr>
    </w:tbl>
    <w:p>
      <w:pPr>
        <w:spacing w:after="0" w:before="80"/>
      </w:pPr>
      <w:r>
        <w:t xml:space="preserve"/>
      </w:r>
    </w:p>
    <w:p>
      <w:pPr>
        <w:spacing w:after="60" w:before="60"/>
        <w:ind w:left="360"/>
      </w:pPr>
      <w:r>
        <w:rPr>
          <w:rFonts w:ascii="Arial" w:cs="Arial" w:eastAsia="Arial" w:hAnsi="Arial"/>
          <w:i/>
          <w:iCs/>
          <w:color w:val="6B7280"/>
          <w:sz w:val="18"/>
          <w:szCs w:val="18"/>
        </w:rPr>
        <w:t xml:space="preserve">— Counsel to confirm: (a) the revenue carve-out mechanism should be documented in the shareholders agreement for The Medina Lab SARL as a contractual obligation of the operating company, not as a shareholder right; (b) the cap of USD 500,000/year should be indexed to inflation or fixed in the agreement.</w:t>
      </w:r>
    </w:p>
    <w:p>
      <w:pPr>
        <w:spacing w:after="0" w:before="80"/>
      </w:pPr>
      <w:r>
        <w:t xml:space="preserve"/>
      </w:r>
    </w:p>
    <w:p>
      <w:pPr>
        <w:spacing w:after="100" w:before="200"/>
      </w:pPr>
      <w:r>
        <w:rPr>
          <w:rFonts w:ascii="Arial" w:cs="Arial" w:eastAsia="Arial" w:hAnsi="Arial"/>
          <w:b/>
          <w:bCs/>
          <w:color w:val="C8922A"/>
          <w:sz w:val="18"/>
          <w:szCs w:val="18"/>
        </w:rPr>
        <w:t xml:space="preserve">7.2 — Spin-Out Revenue Carve-Out Schedule</w:t>
      </w:r>
    </w:p>
    <w:p>
      <w:pPr>
        <w:spacing w:after="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313"/>
        <w:gridCol w:w="1542"/>
        <w:gridCol w:w="1927"/>
        <w:gridCol w:w="1927"/>
        <w:gridCol w:w="1927"/>
      </w:tblGrid>
      <w:tr>
        <w:trPr>
          <w:tblHeader/>
        </w:trPr>
        <w:tc>
          <w:tcPr>
            <w:tcW w:type="dxa" w:w="2313"/>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Spin-Out Entity</w:t>
            </w:r>
          </w:p>
        </w:tc>
        <w:tc>
          <w:tcPr>
            <w:tcW w:type="dxa" w:w="1542"/>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Year</w:t>
            </w:r>
          </w:p>
        </w:tc>
        <w:tc>
          <w:tcPr>
            <w:tcW w:type="dxa" w:w="1927"/>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R1 Revenue %</w:t>
            </w:r>
          </w:p>
        </w:tc>
        <w:tc>
          <w:tcPr>
            <w:tcW w:type="dxa" w:w="1927"/>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Founder Equity</w:t>
            </w:r>
          </w:p>
        </w:tc>
        <w:tc>
          <w:tcPr>
            <w:tcW w:type="dxa" w:w="1927"/>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Asset Contributed</w:t>
            </w:r>
          </w:p>
        </w:tc>
      </w:tr>
      <w:tr>
        <w:tc>
          <w:tcPr>
            <w:tcW w:type="dxa" w:w="2313"/>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Talent Agency</w:t>
            </w:r>
          </w:p>
        </w:tc>
        <w:tc>
          <w:tcPr>
            <w:tcW w:type="dxa" w:w="1542"/>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Y1–2</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4% gross revenue</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70–80%</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Graduate pipeline + brand</w:t>
            </w:r>
          </w:p>
        </w:tc>
      </w:tr>
      <w:tr>
        <w:tc>
          <w:tcPr>
            <w:tcW w:type="dxa" w:w="2313"/>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Nearshore Agency</w:t>
            </w:r>
          </w:p>
        </w:tc>
        <w:tc>
          <w:tcPr>
            <w:tcW w:type="dxa" w:w="1542"/>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Y1–2</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2% gross revenue</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70–80%</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Graduate pipeline + curriculum</w:t>
            </w:r>
          </w:p>
        </w:tc>
      </w:tr>
      <w:tr>
        <w:tc>
          <w:tcPr>
            <w:tcW w:type="dxa" w:w="2313"/>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EdTech Product</w:t>
            </w:r>
          </w:p>
        </w:tc>
        <w:tc>
          <w:tcPr>
            <w:tcW w:type="dxa" w:w="1542"/>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Y1–3</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4% license revenue</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70–80%</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Curriculum IP + student data</w:t>
            </w:r>
          </w:p>
        </w:tc>
      </w:tr>
      <w:tr>
        <w:tc>
          <w:tcPr>
            <w:tcW w:type="dxa" w:w="2313"/>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Game Studio / Borderless</w:t>
            </w:r>
          </w:p>
        </w:tc>
        <w:tc>
          <w:tcPr>
            <w:tcW w:type="dxa" w:w="1542"/>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Y2–3</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2% royalties</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60–70%</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Original game IP + studio</w:t>
            </w:r>
          </w:p>
        </w:tc>
      </w:tr>
      <w:tr>
        <w:tc>
          <w:tcPr>
            <w:tcW w:type="dxa" w:w="2313"/>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AI &amp; Cyber Services</w:t>
            </w:r>
          </w:p>
        </w:tc>
        <w:tc>
          <w:tcPr>
            <w:tcW w:type="dxa" w:w="1542"/>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Y2–3</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3% gross revenue</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70–80%</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Specialist graduates + brand</w:t>
            </w:r>
          </w:p>
        </w:tc>
      </w:tr>
      <w:tr>
        <w:tc>
          <w:tcPr>
            <w:tcW w:type="dxa" w:w="2313"/>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Esports Franchise</w:t>
            </w:r>
          </w:p>
        </w:tc>
        <w:tc>
          <w:tcPr>
            <w:tcW w:type="dxa" w:w="1542"/>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Y2–3</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2% revenue</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60–70%</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Pro player pipeline + brand</w:t>
            </w:r>
          </w:p>
        </w:tc>
      </w:tr>
      <w:tr>
        <w:tc>
          <w:tcPr>
            <w:tcW w:type="dxa" w:w="2313"/>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Media Network</w:t>
            </w:r>
          </w:p>
        </w:tc>
        <w:tc>
          <w:tcPr>
            <w:tcW w:type="dxa" w:w="1542"/>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Y2–4</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3% ad/content revenue</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65–75%</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Content IP + audience + studio</w:t>
            </w:r>
          </w:p>
        </w:tc>
      </w:tr>
      <w:tr>
        <w:tc>
          <w:tcPr>
            <w:tcW w:type="dxa" w:w="2313"/>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F&amp;B Franchise</w:t>
            </w:r>
          </w:p>
        </w:tc>
        <w:tc>
          <w:tcPr>
            <w:tcW w:type="dxa" w:w="1542"/>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Y3–4</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2% franchise fees</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70–80%</w:t>
            </w:r>
          </w:p>
        </w:tc>
        <w:tc>
          <w:tcPr>
            <w:tcW w:type="dxa" w:w="1927"/>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Proven concept + brand + kitchen</w:t>
            </w:r>
          </w:p>
        </w:tc>
      </w:tr>
      <w:tr>
        <w:tc>
          <w:tcPr>
            <w:tcW w:type="dxa" w:w="2313"/>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Medina Lab Franchise</w:t>
            </w:r>
          </w:p>
        </w:tc>
        <w:tc>
          <w:tcPr>
            <w:tcW w:type="dxa" w:w="1542"/>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Y4–5</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3% license fees</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70–80%</w:t>
            </w:r>
          </w:p>
        </w:tc>
        <w:tc>
          <w:tcPr>
            <w:tcW w:type="dxa" w:w="1927"/>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Full playbook + brand + model</w:t>
            </w:r>
          </w:p>
        </w:tc>
      </w:tr>
      <w:tr>
        <w:tc>
          <w:tcPr>
            <w:tcW w:type="dxa" w:w="2313"/>
            <w:tcBorders>
              <w:top w:val="single" w:color="D1D5DB" w:sz="1"/>
              <w:left w:val="single" w:color="D1D5DB" w:sz="1"/>
              <w:bottom w:val="single" w:color="D1D5DB" w:sz="1"/>
              <w:right w:val="single" w:color="D1D5DB" w:sz="1"/>
            </w:tcBorders>
            <w:shd w:fill="FFF8ED" w:val="clear"/>
            <w:tcMar>
              <w:top w:type="dxa" w:w="80"/>
              <w:left w:type="dxa" w:w="160"/>
              <w:bottom w:type="dxa" w:w="80"/>
              <w:right w:type="dxa" w:w="160"/>
            </w:tcMar>
            <w:vAlign w:val="center"/>
          </w:tcPr>
          <w:p>
            <w:r>
              <w:rPr>
                <w:rFonts w:ascii="Arial" w:cs="Arial" w:eastAsia="Arial" w:hAnsi="Arial"/>
                <w:b/>
                <w:bCs/>
                <w:color w:val="0A1628"/>
                <w:sz w:val="18"/>
                <w:szCs w:val="18"/>
              </w:rPr>
              <w:t xml:space="preserve">TOTAL ANNUAL CAP</w:t>
            </w:r>
          </w:p>
        </w:tc>
        <w:tc>
          <w:tcPr>
            <w:tcW w:type="dxa" w:w="1542"/>
            <w:tcBorders>
              <w:top w:val="single" w:color="D1D5DB" w:sz="1"/>
              <w:left w:val="single" w:color="D1D5DB" w:sz="1"/>
              <w:bottom w:val="single" w:color="D1D5DB" w:sz="1"/>
              <w:right w:val="single" w:color="D1D5DB" w:sz="1"/>
            </w:tcBorders>
            <w:shd w:fill="FFF8ED" w:val="clear"/>
            <w:tcMar>
              <w:top w:type="dxa" w:w="80"/>
              <w:left w:type="dxa" w:w="160"/>
              <w:bottom w:type="dxa" w:w="80"/>
              <w:right w:type="dxa" w:w="160"/>
            </w:tcMar>
            <w:vAlign w:val="center"/>
          </w:tcPr>
          <w:p>
            <w:r>
              <w:rPr>
                <w:rFonts w:ascii="Arial" w:cs="Arial" w:eastAsia="Arial" w:hAnsi="Arial"/>
                <w:b/>
                <w:bCs/>
                <w:color w:val="6B7280"/>
                <w:sz w:val="18"/>
                <w:szCs w:val="18"/>
              </w:rPr>
              <w:t xml:space="preserve"/>
            </w:r>
          </w:p>
        </w:tc>
        <w:tc>
          <w:tcPr>
            <w:tcW w:type="dxa" w:w="1927"/>
            <w:tcBorders>
              <w:top w:val="single" w:color="D1D5DB" w:sz="1"/>
              <w:left w:val="single" w:color="D1D5DB" w:sz="1"/>
              <w:bottom w:val="single" w:color="D1D5DB" w:sz="1"/>
              <w:right w:val="single" w:color="D1D5DB" w:sz="1"/>
            </w:tcBorders>
            <w:shd w:fill="FFF8ED" w:val="clear"/>
            <w:tcMar>
              <w:top w:type="dxa" w:w="80"/>
              <w:left w:type="dxa" w:w="160"/>
              <w:bottom w:type="dxa" w:w="80"/>
              <w:right w:type="dxa" w:w="160"/>
            </w:tcMar>
            <w:vAlign w:val="center"/>
          </w:tcPr>
          <w:p>
            <w:r>
              <w:rPr>
                <w:rFonts w:ascii="Arial" w:cs="Arial" w:eastAsia="Arial" w:hAnsi="Arial"/>
                <w:b/>
                <w:bCs/>
                <w:color w:val="C8922A"/>
                <w:sz w:val="18"/>
                <w:szCs w:val="18"/>
              </w:rPr>
              <w:t xml:space="preserve">USD 500,000/yr max</w:t>
            </w:r>
          </w:p>
        </w:tc>
        <w:tc>
          <w:tcPr>
            <w:tcW w:type="dxa" w:w="1927"/>
            <w:tcBorders>
              <w:top w:val="single" w:color="D1D5DB" w:sz="1"/>
              <w:left w:val="single" w:color="D1D5DB" w:sz="1"/>
              <w:bottom w:val="single" w:color="D1D5DB" w:sz="1"/>
              <w:right w:val="single" w:color="D1D5DB" w:sz="1"/>
            </w:tcBorders>
            <w:shd w:fill="FFF8ED" w:val="clear"/>
            <w:tcMar>
              <w:top w:type="dxa" w:w="80"/>
              <w:left w:type="dxa" w:w="160"/>
              <w:bottom w:type="dxa" w:w="80"/>
              <w:right w:type="dxa" w:w="160"/>
            </w:tcMar>
            <w:vAlign w:val="center"/>
          </w:tcPr>
          <w:p>
            <w:r>
              <w:rPr>
                <w:rFonts w:ascii="Arial" w:cs="Arial" w:eastAsia="Arial" w:hAnsi="Arial"/>
                <w:b/>
                <w:bCs/>
                <w:color w:val="6B7280"/>
                <w:sz w:val="18"/>
                <w:szCs w:val="18"/>
              </w:rPr>
              <w:t xml:space="preserve"/>
            </w:r>
          </w:p>
        </w:tc>
        <w:tc>
          <w:tcPr>
            <w:tcW w:type="dxa" w:w="1927"/>
            <w:tcBorders>
              <w:top w:val="single" w:color="D1D5DB" w:sz="1"/>
              <w:left w:val="single" w:color="D1D5DB" w:sz="1"/>
              <w:bottom w:val="single" w:color="D1D5DB" w:sz="1"/>
              <w:right w:val="single" w:color="D1D5DB" w:sz="1"/>
            </w:tcBorders>
            <w:shd w:fill="FFF8ED" w:val="clear"/>
            <w:tcMar>
              <w:top w:type="dxa" w:w="80"/>
              <w:left w:type="dxa" w:w="160"/>
              <w:bottom w:type="dxa" w:w="80"/>
              <w:right w:type="dxa" w:w="160"/>
            </w:tcMar>
            <w:vAlign w:val="center"/>
          </w:tcPr>
          <w:p>
            <w:r>
              <w:rPr>
                <w:rFonts w:ascii="Arial" w:cs="Arial" w:eastAsia="Arial" w:hAnsi="Arial"/>
                <w:b/>
                <w:bCs/>
                <w:color w:val="0A1628"/>
                <w:sz w:val="18"/>
                <w:szCs w:val="18"/>
              </w:rPr>
              <w:t xml:space="preserve">Above cap: 100% to founder</w:t>
            </w:r>
          </w:p>
        </w:tc>
      </w:tr>
    </w:tbl>
    <w:p>
      <w:pPr>
        <w:spacing w:after="0" w:before="160"/>
      </w:pPr>
      <w:r>
        <w:t xml:space="preserve"/>
      </w:r>
    </w:p>
    <w:p>
      <w:pPr>
        <w:pBdr>
          <w:bottom w:val="single" w:color="D1D5DB" w:sz="4"/>
        </w:pBdr>
        <w:spacing w:after="200" w:before="200"/>
      </w:pPr>
      <w:r>
        <w:t xml:space="preserve"/>
      </w:r>
    </w:p>
    <w:p>
      <w:pPr>
        <w:shd w:fill="0A1628" w:val="clear"/>
        <w:spacing w:after="120" w:before="400"/>
      </w:pPr>
      <w:r>
        <w:rPr>
          <w:rFonts w:ascii="Arial" w:cs="Arial" w:eastAsia="Arial" w:hAnsi="Arial"/>
          <w:b/>
          <w:bCs/>
          <w:color w:val="C8922A"/>
          <w:sz w:val="22"/>
          <w:szCs w:val="22"/>
        </w:rPr>
        <w:t xml:space="preserve">  08  </w:t>
      </w:r>
      <w:r>
        <w:rPr>
          <w:rFonts w:ascii="Arial" w:cs="Arial" w:eastAsia="Arial" w:hAnsi="Arial"/>
          <w:b/>
          <w:bCs/>
          <w:color w:val="FFFFFF"/>
          <w:sz w:val="22"/>
          <w:szCs w:val="22"/>
        </w:rPr>
        <w:t xml:space="preserve">  Actions Required from Legal Counsel</w:t>
      </w:r>
    </w:p>
    <w:p>
      <w:pPr>
        <w:spacing w:after="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00"/>
        <w:gridCol w:w="5300"/>
        <w:gridCol w:w="2891"/>
        <w:gridCol w:w="400"/>
      </w:tblGrid>
      <w:tr>
        <w:trPr>
          <w:tblHeader/>
        </w:trPr>
        <w:tc>
          <w:tcPr>
            <w:tcW w:type="dxa" w:w="400"/>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w:t>
            </w:r>
          </w:p>
        </w:tc>
        <w:tc>
          <w:tcPr>
            <w:tcW w:type="dxa" w:w="5300"/>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Action</w:t>
            </w:r>
          </w:p>
        </w:tc>
        <w:tc>
          <w:tcPr>
            <w:tcW w:type="dxa" w:w="2891"/>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Priority</w:t>
            </w:r>
          </w:p>
        </w:tc>
        <w:tc>
          <w:tcPr>
            <w:tcW w:type="dxa" w:w="400"/>
            <w:tcBorders>
              <w:top w:val="single" w:color="D1D5DB" w:sz="1"/>
              <w:left w:val="single" w:color="D1D5DB" w:sz="1"/>
              <w:bottom w:val="single" w:color="D1D5DB" w:sz="1"/>
              <w:right w:val="single" w:color="D1D5DB" w:sz="1"/>
            </w:tcBorders>
            <w:shd w:fill="0A1628" w:val="clear"/>
            <w:tcMar>
              <w:top w:type="dxa" w:w="100"/>
              <w:left w:type="dxa" w:w="160"/>
              <w:bottom w:type="dxa" w:w="100"/>
              <w:right w:type="dxa" w:w="160"/>
            </w:tcMar>
          </w:tcPr>
          <w:p>
            <w:r>
              <w:rPr>
                <w:rFonts w:ascii="Arial" w:cs="Arial" w:eastAsia="Arial" w:hAnsi="Arial"/>
                <w:b/>
                <w:bCs/>
                <w:color w:val="FFFFFF"/>
                <w:sz w:val="18"/>
                <w:szCs w:val="18"/>
              </w:rPr>
              <w:t xml:space="preserve">Entity</w:t>
            </w:r>
          </w:p>
        </w:tc>
      </w:tr>
      <w:tr>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1</w:t>
            </w:r>
          </w:p>
        </w:tc>
        <w:tc>
          <w:tcPr>
            <w:tcW w:type="dxa" w:w="53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Incorporate Pixoul Holdings SARL under CFC regime — 0% CIT 5yr, 0% dividend withholding</w:t>
            </w:r>
          </w:p>
        </w:tc>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Immediate</w:t>
            </w:r>
          </w:p>
        </w:tc>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Holdings</w:t>
            </w:r>
          </w:p>
        </w:tc>
      </w:tr>
      <w:tr>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2</w:t>
            </w:r>
          </w:p>
        </w:tc>
        <w:tc>
          <w:tcPr>
            <w:tcW w:type="dxa" w:w="53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Incorporate Pixoul Tech SARL — standard Moroccan SARL</w:t>
            </w:r>
          </w:p>
        </w:tc>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Immediate</w:t>
            </w:r>
          </w:p>
        </w:tc>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Tech</w:t>
            </w:r>
          </w:p>
        </w:tc>
      </w:tr>
      <w:tr>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3</w:t>
            </w:r>
          </w:p>
        </w:tc>
        <w:tc>
          <w:tcPr>
            <w:tcW w:type="dxa" w:w="53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Draft IP assignment agreement — personal IP of Toufic Assaf to Pixoul Holdings SARL</w:t>
            </w:r>
          </w:p>
        </w:tc>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Pre-closing</w:t>
            </w:r>
          </w:p>
        </w:tc>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Holdings</w:t>
            </w:r>
          </w:p>
        </w:tc>
      </w:tr>
      <w:tr>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4</w:t>
            </w:r>
          </w:p>
        </w:tc>
        <w:tc>
          <w:tcPr>
            <w:tcW w:type="dxa" w:w="53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Draft IP assignment — Pixoul UAE / RobocomVR UAE VR content IP to Pixoul Holdings SARL; confirm Robocom shareholder consent required</w:t>
            </w:r>
          </w:p>
        </w:tc>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Pre-closing</w:t>
            </w:r>
          </w:p>
        </w:tc>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Holdings</w:t>
            </w:r>
          </w:p>
        </w:tc>
      </w:tr>
      <w:tr>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5</w:t>
            </w:r>
          </w:p>
        </w:tc>
        <w:tc>
          <w:tcPr>
            <w:tcW w:type="dxa" w:w="53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Incorporate The Medina Lab SARL — dual class share structure (Class A founder, Class B investor)</w:t>
            </w:r>
          </w:p>
        </w:tc>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Pre-closing</w:t>
            </w:r>
          </w:p>
        </w:tc>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Medina Lab</w:t>
            </w:r>
          </w:p>
        </w:tc>
      </w:tr>
      <w:tr>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6</w:t>
            </w:r>
          </w:p>
        </w:tc>
        <w:tc>
          <w:tcPr>
            <w:tcW w:type="dxa" w:w="53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Draft shareholders agreement — Medina Lab SARL — covering equity split, drag/tag along, board rights, fee caps, and revenue carve-out</w:t>
            </w:r>
          </w:p>
        </w:tc>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Pre-closing</w:t>
            </w:r>
          </w:p>
        </w:tc>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Medina Lab</w:t>
            </w:r>
          </w:p>
        </w:tc>
      </w:tr>
      <w:tr>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7</w:t>
            </w:r>
          </w:p>
        </w:tc>
        <w:tc>
          <w:tcPr>
            <w:tcW w:type="dxa" w:w="53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Draft Management Services Agreement — Pixoul Holdings to Medina Lab — all fee lines in Section 6.1</w:t>
            </w:r>
          </w:p>
        </w:tc>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Pre-closing</w:t>
            </w:r>
          </w:p>
        </w:tc>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Holdings / Medina Lab</w:t>
            </w:r>
          </w:p>
        </w:tc>
      </w:tr>
      <w:tr>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8</w:t>
            </w:r>
          </w:p>
        </w:tc>
        <w:tc>
          <w:tcPr>
            <w:tcW w:type="dxa" w:w="53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Draft Equipment Supply Agreement — Pixoul Tech to Medina Lab — at-cost supply terms</w:t>
            </w:r>
          </w:p>
        </w:tc>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Pre-opening</w:t>
            </w:r>
          </w:p>
        </w:tc>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Tech / Medina Lab</w:t>
            </w:r>
          </w:p>
        </w:tc>
      </w:tr>
      <w:tr>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9</w:t>
            </w:r>
          </w:p>
        </w:tc>
        <w:tc>
          <w:tcPr>
            <w:tcW w:type="dxa" w:w="53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Advise on transfer pricing compliance for all intercompany fee arrangements under Moroccan tax law</w:t>
            </w:r>
          </w:p>
        </w:tc>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Pre-closing</w:t>
            </w:r>
          </w:p>
        </w:tc>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All entities</w:t>
            </w:r>
          </w:p>
        </w:tc>
      </w:tr>
      <w:tr>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10</w:t>
            </w:r>
          </w:p>
        </w:tc>
        <w:tc>
          <w:tcPr>
            <w:tcW w:type="dxa" w:w="53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Advise on VAT treatment of intercompany services and IP licensing</w:t>
            </w:r>
          </w:p>
        </w:tc>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Pre-closing</w:t>
            </w:r>
          </w:p>
        </w:tc>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All entities</w:t>
            </w:r>
          </w:p>
        </w:tc>
      </w:tr>
      <w:tr>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11</w:t>
            </w:r>
          </w:p>
        </w:tc>
        <w:tc>
          <w:tcPr>
            <w:tcW w:type="dxa" w:w="53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Confirm simultaneous-close notary escrow mechanism — founder not exposed until all conditions met</w:t>
            </w:r>
          </w:p>
        </w:tc>
        <w:tc>
          <w:tcPr>
            <w:tcW w:type="dxa" w:w="2891"/>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Pre-closing</w:t>
            </w:r>
          </w:p>
        </w:tc>
        <w:tc>
          <w:tcPr>
            <w:tcW w:type="dxa" w:w="400"/>
            <w:tcBorders>
              <w:top w:val="single" w:color="D1D5DB" w:sz="1"/>
              <w:left w:val="single" w:color="D1D5DB" w:sz="1"/>
              <w:bottom w:val="single" w:color="D1D5DB" w:sz="1"/>
              <w:right w:val="single" w:color="D1D5DB" w:sz="1"/>
            </w:tcBorders>
            <w:shd w:fill="FFFFFF" w:val="clear"/>
            <w:tcMar>
              <w:top w:type="dxa" w:w="80"/>
              <w:left w:type="dxa" w:w="160"/>
              <w:bottom w:type="dxa" w:w="80"/>
              <w:right w:type="dxa" w:w="160"/>
            </w:tcMar>
            <w:vAlign w:val="center"/>
          </w:tcPr>
          <w:p>
            <w:r>
              <w:rPr>
                <w:rFonts w:ascii="Arial" w:cs="Arial" w:eastAsia="Arial" w:hAnsi="Arial"/>
                <w:color w:val="374151"/>
                <w:sz w:val="18"/>
                <w:szCs w:val="18"/>
              </w:rPr>
              <w:t xml:space="preserve">Medina Lab</w:t>
            </w:r>
          </w:p>
        </w:tc>
      </w:tr>
      <w:tr>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12</w:t>
            </w:r>
          </w:p>
        </w:tc>
        <w:tc>
          <w:tcPr>
            <w:tcW w:type="dxa" w:w="53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Draft revenue carve-out schedule as contractual schedule to shareholders agreement</w:t>
            </w:r>
          </w:p>
        </w:tc>
        <w:tc>
          <w:tcPr>
            <w:tcW w:type="dxa" w:w="2891"/>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Pre-closing</w:t>
            </w:r>
          </w:p>
        </w:tc>
        <w:tc>
          <w:tcPr>
            <w:tcW w:type="dxa" w:w="400"/>
            <w:tcBorders>
              <w:top w:val="single" w:color="D1D5DB" w:sz="1"/>
              <w:left w:val="single" w:color="D1D5DB" w:sz="1"/>
              <w:bottom w:val="single" w:color="D1D5DB" w:sz="1"/>
              <w:right w:val="single" w:color="D1D5DB" w:sz="1"/>
            </w:tcBorders>
            <w:shd w:fill="EEF2F7" w:val="clear"/>
            <w:tcMar>
              <w:top w:type="dxa" w:w="80"/>
              <w:left w:type="dxa" w:w="160"/>
              <w:bottom w:type="dxa" w:w="80"/>
              <w:right w:type="dxa" w:w="160"/>
            </w:tcMar>
            <w:vAlign w:val="center"/>
          </w:tcPr>
          <w:p>
            <w:r>
              <w:rPr>
                <w:rFonts w:ascii="Arial" w:cs="Arial" w:eastAsia="Arial" w:hAnsi="Arial"/>
                <w:color w:val="374151"/>
                <w:sz w:val="18"/>
                <w:szCs w:val="18"/>
              </w:rPr>
              <w:t xml:space="preserve">Medina Lab</w:t>
            </w:r>
          </w:p>
        </w:tc>
      </w:tr>
    </w:tbl>
    <w:p>
      <w:pPr>
        <w:spacing w:after="0" w:before="160"/>
      </w:pPr>
      <w:r>
        <w:t xml:space="preserve"/>
      </w:r>
    </w:p>
    <w:p>
      <w:pPr>
        <w:pBdr>
          <w:bottom w:val="single" w:color="C8922A" w:sz="6"/>
        </w:pBdr>
        <w:spacing w:after="200" w:before="200"/>
      </w:pPr>
      <w:r>
        <w:t xml:space="preserve"/>
      </w:r>
    </w:p>
    <w:p>
      <w:pPr>
        <w:spacing w:after="200" w:before="200"/>
        <w:jc w:val="center"/>
      </w:pPr>
      <w:r>
        <w:rPr>
          <w:rFonts w:ascii="Arial" w:cs="Arial" w:eastAsia="Arial" w:hAnsi="Arial"/>
          <w:b/>
          <w:bCs/>
          <w:color w:val="6B7280"/>
          <w:sz w:val="18"/>
          <w:szCs w:val="18"/>
        </w:rPr>
        <w:t xml:space="preserve">END OF DOCUMENT — FOR LEGAL REVIEW ONLY — CONFIDENTIAL</w:t>
      </w:r>
    </w:p>
    <w:p>
      <w:pPr>
        <w:jc w:val="center"/>
      </w:pPr>
      <w:r>
        <w:rPr>
          <w:rFonts w:ascii="Arial" w:cs="Arial" w:eastAsia="Arial" w:hAnsi="Arial"/>
          <w:i/>
          <w:iCs/>
          <w:color w:val="6B7280"/>
          <w:sz w:val="16"/>
          <w:szCs w:val="16"/>
        </w:rPr>
        <w:t xml:space="preserve">Pixoul Group — Casablanca, Morocco — 2026</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pBdr>
      <w:tabs>
        <w:tab w:val="right" w:pos="9638"/>
      </w:tabs>
      <w:spacing w:before="120"/>
    </w:pPr>
    <w:r>
      <w:rPr>
        <w:rFonts w:ascii="Arial" w:cs="Arial" w:eastAsia="Arial" w:hAnsi="Arial"/>
        <w:color w:val="6B7280"/>
        <w:sz w:val="16"/>
        <w:szCs w:val="16"/>
      </w:rPr>
      <w:t xml:space="preserve">Pixoul Group — Confidential</w:t>
    </w:r>
    <w:r>
      <w:rPr>
        <w:rFonts w:ascii="Arial" w:cs="Arial" w:eastAsia="Arial" w:hAnsi="Arial"/>
        <w:sz w:val="16"/>
        <w:szCs w:val="16"/>
      </w:rPr>
      <w:t xml:space="preserve">	</w:t>
    </w: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22A" w:sz="4"/>
      </w:pBdr>
      <w:spacing w:after="200"/>
    </w:pPr>
    <w:r>
      <w:rPr>
        <w:rFonts w:ascii="Arial" w:cs="Arial" w:eastAsia="Arial" w:hAnsi="Arial"/>
        <w:b/>
        <w:bCs/>
        <w:color w:val="0A1628"/>
        <w:sz w:val="16"/>
        <w:szCs w:val="16"/>
      </w:rPr>
      <w:t xml:space="preserve">PIXOUL GROUP — CORPORATE STRUCTURE &amp; IP OWNERSHIP</w:t>
    </w:r>
    <w:r>
      <w:rPr>
        <w:rFonts w:ascii="Arial" w:cs="Arial" w:eastAsia="Arial" w:hAnsi="Arial"/>
        <w:color w:val="6B7280"/>
        <w:sz w:val="16"/>
        <w:szCs w:val="16"/>
      </w:rPr>
      <w:t xml:space="preserve">   |   CONFIDENTIAL — FOR LEGAL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0A1628"/>
      <w:sz w:val="28"/>
      <w:szCs w:val="28"/>
    </w:rPr>
  </w:style>
  <w:style w:type="paragraph" w:styleId="Heading2">
    <w:name w:val="Heading 2"/>
    <w:basedOn w:val="Normal"/>
    <w:next w:val="Normal"/>
    <w:qFormat/>
    <w:pPr>
      <w:spacing w:after="160" w:before="300"/>
      <w:outlineLvl w:val="1"/>
    </w:pPr>
    <w:rPr>
      <w:rFonts w:ascii="Arial" w:cs="Arial" w:eastAsia="Arial" w:hAnsi="Arial"/>
      <w:b/>
      <w:bCs/>
      <w:color w:val="0A162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2026-06-11T00:54:50.785Z</dcterms:created>
  <dcterms:modified xsi:type="dcterms:W3CDTF">2026-06-11T00:54:50.786Z</dcterms:modified>
</cp:coreProperties>
</file>

<file path=docProps/custom.xml><?xml version="1.0" encoding="utf-8"?>
<Properties xmlns="http://schemas.openxmlformats.org/officeDocument/2006/custom-properties" xmlns:vt="http://schemas.openxmlformats.org/officeDocument/2006/docPropsVTypes"/>
</file>