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0A1A35"/>
          <w:sz w:val="34"/>
          <w:szCs w:val="34"/>
        </w:rPr>
        <w:t xml:space="preserve">[INVESTOR / FAMILY OFFICE / FUND NAME]</w:t>
      </w:r>
    </w:p>
    <w:p>
      <w:pPr>
        <w:spacing w:after="40"/>
        <w:jc w:val="center"/>
      </w:pPr>
      <w:r>
        <w:rPr>
          <w:rFonts w:ascii="Arial" w:cs="Arial" w:eastAsia="Arial" w:hAnsi="Arial"/>
          <w:i/>
          <w:iCs/>
          <w:color w:val="C9A84C"/>
          <w:sz w:val="22"/>
          <w:szCs w:val="22"/>
        </w:rPr>
        <w:t xml:space="preserve">Private Investment · Strictly Confidential</w:t>
      </w:r>
    </w:p>
    <w:p>
      <w:pPr>
        <w:spacing w:after="280"/>
        <w:jc w:val="center"/>
      </w:pPr>
      <w:r>
        <w:rPr>
          <w:rFonts w:ascii="Arial" w:cs="Arial" w:eastAsia="Arial" w:hAnsi="Arial"/>
          <w:color w:val="666666"/>
          <w:sz w:val="18"/>
          <w:szCs w:val="18"/>
        </w:rPr>
        <w:t xml:space="preserve">[City, Country]</w:t>
      </w:r>
    </w:p>
    <w:p>
      <w:pPr>
        <w:pBdr>
          <w:bottom w:val="single" w:color="C9A84C" w:sz="8" w:space="1"/>
        </w:pBdr>
        <w:spacing w:after="280"/>
      </w:pPr>
    </w:p>
    <w:p>
      <w:pPr>
        <w:spacing w:after="40" w:before="0" w:line="280"/>
        <w:jc w:val="left"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Date: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April 13, 2026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b/>
          <w:bCs/>
          <w:color w:val="666666"/>
          <w:sz w:val="20"/>
          <w:szCs w:val="20"/>
        </w:rPr>
        <w:t xml:space="preserve">Reference: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INV-LOI-2026-PIXOUL-CASA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To:  Mr. Toufic Assaf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Founder &amp; Director, Pixoul Gaming &amp; Learning Academy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Casablanca, Kingdom of Morocco</w:t>
      </w:r>
    </w:p>
    <w:p>
      <w:pPr>
        <w:spacing w:after="200" w:before="0"/>
      </w:pPr>
      <w:r>
        <w:rPr>
          <w:sz w:val="22"/>
          <w:szCs w:val="22"/>
        </w:rPr>
        <w:t xml:space="preserve"/>
      </w:r>
    </w:p>
    <w:p>
      <w:pPr>
        <w:spacing w:after="180" w:before="280"/>
      </w:pPr>
      <w:r>
        <w:rPr>
          <w:rFonts w:ascii="Arial" w:cs="Arial" w:eastAsia="Arial" w:hAnsi="Arial"/>
          <w:b/>
          <w:bCs/>
          <w:color w:val="0A1A35"/>
          <w:sz w:val="22"/>
          <w:szCs w:val="22"/>
        </w:rPr>
        <w:t xml:space="preserve">LETTER OF INTEREST — PROPOSED INVESTMENT IN PIXOUL GAMING CASABLANCA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Dear Mr. Assaf,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Following our review of the Pixoul Morocco Investor Memorandum, the Pixoul Abu Dhabi track record (open November 2022, 4,500 m² Al Qana, 147,000+ students trained, over USD 7M annual revenue, Grant Thornton valuation between AED 38–48M), and a series of working sessions with the Pixoul team, we hereby express our non-binding interest in participating as an equity investor in the Pixoul Casablanca project.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Proposed participation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20"/>
        <w:gridCol w:w="4680"/>
      </w:tblGrid>
      <w:tr>
        <w:tc>
          <w:tcPr>
            <w:tcW w:type="pct" w:w="48%"/>
            <w:shd w:fill="EFE9DC" w:color="EFE9DC" w:val="solid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Investment amount</w:t>
            </w:r>
          </w:p>
        </w:tc>
        <w:tc>
          <w:tcPr>
            <w:tcW w:type="pct" w:w="52%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USD [___]</w:t>
            </w:r>
          </w:p>
        </w:tc>
      </w:tr>
      <w:tr>
        <w:tc>
          <w:tcPr>
            <w:tcW w:type="pct" w:w="48%"/>
            <w:shd w:fill="EFE9DC" w:color="EFE9DC" w:val="solid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Phase</w:t>
            </w:r>
          </w:p>
        </w:tc>
        <w:tc>
          <w:tcPr>
            <w:tcW w:type="pct" w:w="52%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Phase 1 / Phase 2 / Phase 3 (circle one)</w:t>
            </w:r>
          </w:p>
        </w:tc>
      </w:tr>
      <w:tr>
        <w:tc>
          <w:tcPr>
            <w:tcW w:type="pct" w:w="48%"/>
            <w:shd w:fill="EFE9DC" w:color="EFE9DC" w:val="solid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Pre-money valuation accepted</w:t>
            </w:r>
          </w:p>
        </w:tc>
        <w:tc>
          <w:tcPr>
            <w:tcW w:type="pct" w:w="52%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USD [12M / 15M / 20M] — per Memorandum terms</w:t>
            </w:r>
          </w:p>
        </w:tc>
      </w:tr>
      <w:tr>
        <w:tc>
          <w:tcPr>
            <w:tcW w:type="pct" w:w="48%"/>
            <w:shd w:fill="EFE9DC" w:color="EFE9DC" w:val="solid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Implied equity %</w:t>
            </w:r>
          </w:p>
        </w:tc>
        <w:tc>
          <w:tcPr>
            <w:tcW w:type="pct" w:w="52%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[___]%</w:t>
            </w:r>
          </w:p>
        </w:tc>
      </w:tr>
      <w:tr>
        <w:tc>
          <w:tcPr>
            <w:tcW w:type="pct" w:w="48%"/>
            <w:shd w:fill="EFE9DC" w:color="EFE9DC" w:val="solid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20"/>
                <w:szCs w:val="20"/>
              </w:rPr>
              <w:t xml:space="preserve">Governance expectations</w:t>
            </w:r>
          </w:p>
        </w:tc>
        <w:tc>
          <w:tcPr>
            <w:tcW w:type="pct" w:w="52%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color w:val="111111"/>
                <w:sz w:val="20"/>
                <w:szCs w:val="20"/>
              </w:rPr>
              <w:t xml:space="preserve">Standard minority investor rights / board observer / board seat (specify)</w:t>
            </w:r>
          </w:p>
        </w:tc>
      </w:tr>
    </w:tbl>
    <w:p>
      <w:pPr>
        <w:spacing w:after="240" w:before="0"/>
      </w:pPr>
      <w:r>
        <w:rPr>
          <w:sz w:val="22"/>
          <w:szCs w:val="22"/>
        </w:rPr>
        <w:t xml:space="preserve"/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Basis of interest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Proven operator — Pixoul Abu Dhabi demonstrates a validated business model at scale, de-risking the Casablanca expansion.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Market timing — Morocco's digital economy, tourism strategy, and the FIFA World Cup 2030 create a unique demand environment.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Structural advantages — 3 Ministry partnerships, SMIT tourism infrastructure designation, and direct municipal engagement are already in progress.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Economics — the Memorandum's projected dividend stream, terminal value multiple, and payback profile are consistent with the return expectations applicable to this allocation.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Conditions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This Letter of Interest is non-binding and is conditional upon: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Satisfactory completion of investor due diligence on Pixoul Morocco and the founder entity.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Execution of the head lease for the Casablanca venue on commercially acceptable terms.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Negotiation and execution of definitive legal documentation (Subscription Agreement, Shareholders' Agreement).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rFonts w:ascii="Arial" w:cs="Arial" w:eastAsia="Arial" w:hAnsi="Arial"/>
          <w:sz w:val="22"/>
          <w:szCs w:val="22"/>
        </w:rPr>
        <w:t xml:space="preserve">Confirmation of fund availability and any applicable internal approvals on our side.</w:t>
      </w:r>
    </w:p>
    <w:p>
      <w:pPr>
        <w:spacing w:after="120" w:before="200"/>
      </w:pPr>
      <w:r>
        <w:rPr>
          <w:rFonts w:ascii="Arial" w:cs="Arial" w:eastAsia="Arial" w:hAnsi="Arial"/>
          <w:b/>
          <w:bCs/>
          <w:color w:val="0A1A35"/>
          <w:sz w:val="24"/>
          <w:szCs w:val="24"/>
        </w:rPr>
        <w:t xml:space="preserve">Next steps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Subject to the above, we are prepared to: (i) commence detailed due diligence within [__] weeks of this letter, (ii) work toward signing of definitive documentation within [__] weeks of commencing due diligence, and (iii) fund the investment in accordance with the capital call schedule set out in the Memorandum.</w:t>
      </w:r>
    </w:p>
    <w:p>
      <w:pPr>
        <w:spacing w:after="20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We reiterate our enthusiasm for the opportunity and look forward to advancing to the next stage of discussions.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Yours sincerely,</w:t>
      </w:r>
    </w:p>
    <w:p>
      <w:pPr>
        <w:spacing w:after="400" w:before="0"/>
      </w:pPr>
      <w:r>
        <w:rPr>
          <w:sz w:val="22"/>
          <w:szCs w:val="22"/>
        </w:rP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Signed,</w:t>
      </w:r>
    </w:p>
    <w:p>
      <w:pPr>
        <w:spacing w:after="600" w:before="0"/>
      </w:pPr>
      <w:r>
        <w:rPr>
          <w:sz w:val="22"/>
          <w:szCs w:val="22"/>
        </w:rP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111111"/>
          <w:sz w:val="22"/>
          <w:szCs w:val="22"/>
        </w:rPr>
        <w:t xml:space="preserve">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/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[Name of Signatory]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[Title]</w:t>
      </w:r>
    </w:p>
    <w:p>
      <w:pPr>
        <w:spacing w:after="120" w:before="0" w:line="280"/>
        <w:jc w:val="left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[Investor / Fund Name]</w:t>
      </w:r>
    </w:p>
    <w:sectPr>
      <w:pgSz w:w="12240" w:h="15840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  <w:lvl w:ilvl="1" w15:tentative="1">
      <w:start w:val="1"/>
      <w:numFmt w:val="bullet"/>
      <w:lvlText w:val="◦"/>
      <w:lvlJc w:val="left"/>
      <w:pPr>
        <w:ind w:left="9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2026-04-13T01:23:52.240Z</dcterms:created>
  <dcterms:modified xsi:type="dcterms:W3CDTF">2026-04-13T01:23:52.240Z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