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A1A35"/>
          <w:sz w:val="36"/>
          <w:szCs w:val="36"/>
        </w:rPr>
        <w:t xml:space="preserve">PIXOUL GAMING CASABLANCA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C9A84C"/>
          <w:sz w:val="22"/>
          <w:szCs w:val="22"/>
        </w:rPr>
        <w:t xml:space="preserve">Venue Space Requirements — Lessor Briefing</w:t>
      </w:r>
    </w:p>
    <w:p>
      <w:pPr>
        <w:spacing w:after="100" w:before="0"/>
        <w:jc w:val="left"/>
      </w:pPr>
      <w:r>
        <w:rPr>
          <w:rFonts w:ascii="Arial" w:cs="Arial" w:eastAsia="Arial" w:hAnsi="Arial"/>
          <w:color w:val="111111"/>
          <w:sz w:val="19"/>
          <w:szCs w:val="19"/>
        </w:rPr>
        <w:t xml:space="preserve">Toufic Assaf, Founder &amp; Director, Pixoul Gaming Abu Dhabi. Seeking to sign a long-term lease for a flagship Pixoul venue in Casablanca — a gaming, education, and entertainment destination modeled on our 4,500 m² operation at Al Qana, Abu Dhabi (open since November 2022, 147,000+ students trained, $7M+ annual revenue).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WHAT I NEED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Total usable floor area: 4,500 – 4,800 m² across 3 or 4 levels + rooftop access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Ground floor with a 500 m² double-height event atrium (open to Floor 1 above)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Reception zone designed as a dramatic double-height entry (100 m²)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Rooftop access for a premium bar / lounge concept (separate sub-tenant)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Long-term lease: minimum 10-year primary term with extension options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TWO CONFIGURATIONS THAT WORK FOR ME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/>
            </w:r>
          </w:p>
        </w:tc>
        <w:tc>
          <w:tcPr>
            <w:tcW w:type="pct" w:w="35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CONFIG A</w:t>
            </w:r>
          </w:p>
        </w:tc>
        <w:tc>
          <w:tcPr>
            <w:tcW w:type="pct" w:w="35%"/>
            <w:shd w:fill="C9A84C" w:color="C9A84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A1A35"/>
                <w:sz w:val="18"/>
                <w:szCs w:val="18"/>
              </w:rPr>
              <w:t xml:space="preserve">CONFIG B</w:t>
            </w:r>
          </w:p>
        </w:tc>
      </w:tr>
      <w:tr>
        <w:tc>
          <w:tcPr>
            <w:tcW w:type="pct" w:w="50%"/>
            <w:shd w:fill="EFE9DC" w:color="EFE9D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Plate size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1,800 m²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1,500 m²</w:t>
            </w:r>
          </w:p>
        </w:tc>
      </w:tr>
      <w:tr>
        <w:tc>
          <w:tcPr>
            <w:tcW w:type="pct" w:w="50%"/>
            <w:shd w:fill="EFE9DC" w:color="EFE9D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Levels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3 (G + 1 + Rooftop)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4 (G + 1 + 2 + Rooftop)</w:t>
            </w:r>
          </w:p>
        </w:tc>
      </w:tr>
      <w:tr>
        <w:tc>
          <w:tcPr>
            <w:tcW w:type="pct" w:w="50%"/>
            <w:shd w:fill="EFE9DC" w:color="EFE9D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Ground usable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1,800 m²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1,500 m²</w:t>
            </w:r>
          </w:p>
        </w:tc>
      </w:tr>
      <w:tr>
        <w:tc>
          <w:tcPr>
            <w:tcW w:type="pct" w:w="50%"/>
            <w:shd w:fill="EFE9DC" w:color="EFE9D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Upper floor usable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1,200 m² (after atrium voids)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900 + 1,200 m² (after voids)</w:t>
            </w:r>
          </w:p>
        </w:tc>
      </w:tr>
      <w:tr>
        <w:tc>
          <w:tcPr>
            <w:tcW w:type="pct" w:w="50%"/>
            <w:shd w:fill="EFE9DC" w:color="EFE9D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Rooftop usable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1,650 m²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1,350 m²</w:t>
            </w:r>
          </w:p>
        </w:tc>
      </w:tr>
      <w:tr>
        <w:tc>
          <w:tcPr>
            <w:tcW w:type="pct" w:w="50%"/>
            <w:shd w:fill="C9A84C" w:color="C9A84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TOTAL USABLE</w:t>
            </w:r>
          </w:p>
        </w:tc>
        <w:tc>
          <w:tcPr>
            <w:tcW w:type="pct" w:w="50%"/>
            <w:shd w:fill="C9A84C" w:color="C9A84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~4,650 m²</w:t>
            </w:r>
          </w:p>
        </w:tc>
        <w:tc>
          <w:tcPr>
            <w:tcW w:type="pct" w:w="50%"/>
            <w:shd w:fill="C9A84C" w:color="C9A84C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~4,950 m²</w:t>
            </w:r>
          </w:p>
        </w:tc>
      </w:tr>
    </w:tbl>
    <w:p>
      <w:pPr>
        <w:spacing w:after="100" w:before="200"/>
        <w:jc w:val="left"/>
      </w:pPr>
      <w:r>
        <w:rPr>
          <w:rFonts w:ascii="Arial" w:cs="Arial" w:eastAsia="Arial" w:hAnsi="Arial"/>
          <w:color w:val="111111"/>
          <w:sz w:val="19"/>
          <w:szCs w:val="19"/>
        </w:rPr>
        <w:t xml:space="preserve">Both configurations deliver the 4,500+ m² I need. Either works — whichever matches the lot you have available.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ZONE BREAKDOWN (summary)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6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GROUND FLOOR — 1,500 m²</w:t>
            </w:r>
          </w:p>
        </w:tc>
        <w:tc>
          <w:tcPr>
            <w:tcW w:type="pct" w:w="4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Event atrium (double-height, 7-9 m ceiling)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500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Gaming floor (90 units: VR sims, arcades, redemption)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350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Sports bar + candy shop (F&amp;B)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150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Kids playground (under-8 zone)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120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Retail subleases (3 units)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150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Reception atrium + ticketing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100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Circulation + restrooms + MEP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130 m²</w:t>
            </w:r>
          </w:p>
        </w:tc>
      </w:tr>
      <w:tr>
        <w:tc>
          <w:tcPr>
            <w:tcW w:type="pct" w:w="6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FLOOR 1 — 1,195 m² program</w:t>
            </w:r>
          </w:p>
        </w:tc>
        <w:tc>
          <w:tcPr>
            <w:tcW w:type="pct" w:w="4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Pixoul Academy (6 classrooms × 20 students)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300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Pixoul Lab (4 labs: robotics, AI, 3D print, electronics)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160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Academy hangout + admin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120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Esports arena + PC café (50 stations)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275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Interactive gaming museum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100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EVA VR free-roam arena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120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Gallery around atrium void + circulation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120 m²</w:t>
            </w:r>
          </w:p>
        </w:tc>
      </w:tr>
      <w:tr>
        <w:tc>
          <w:tcPr>
            <w:tcW w:type="pct" w:w="6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ROOFTOP — Whatever's available</w:t>
            </w:r>
          </w:p>
        </w:tc>
        <w:tc>
          <w:tcPr>
            <w:tcW w:type="pct" w:w="40%"/>
            <w:shd w:fill="0A1A35" w:color="0A1A35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Premium bar, lounge, restaurant, open terrace, DJ stage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11111"/>
                <w:sz w:val="18"/>
                <w:szCs w:val="18"/>
              </w:rPr>
              <w:t xml:space="preserve">Full plate</w:t>
            </w:r>
          </w:p>
        </w:tc>
      </w:tr>
    </w:tbl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LEASE TERMS I'M READY TO DISCUSS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10-year primary lease term with 5-year extension option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Rent escalation tied to Moroccan inflation index (capped at 3%/yr)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Fit-out period of 4-6 months rent-free for construction and commissioning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Transparency on service charges, insurance, and municipal fees (all itemized)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Permission for signature architectural features (branded façade, LED exterior)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Sublease rights for the 3 retail units and the rooftop concept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WHAT I BRING AS A TENANT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Proven concept — Pixoul AD generates $7M+ annually in a 4,500 m² footprint, with zero sustained vacancy in 3+ years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Destination anchor tenant — Pixoul drives significant footfall to surrounding retail and F&amp;B (700+ visitors / weekend)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Ministry LOIs already secured (Youth &amp; Culture; Tourism; Education) — government alignment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Capital committed — $4M anchor investor, active Phase 1 deployment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Premium brand adjacency — your building becomes a landmark, generates press, attracts premium neighbours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QUESTIONS FOR YOU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Available lots that fit either Config A or B (floor plate and building height)?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Rent range per m² you're targeting — base rent and any service charge?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Possession timeline — when could we realistically sign and start fit-out?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Any existing tenants or sub-lessor considerations I should know about?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Utility capacity available (electricity: we need ~1.5 MW for the full venue)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Toufic Assaf · Founder, Pixoul Gaming &amp; Learning Academy</w:t>
      </w:r>
    </w:p>
    <w:sectPr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2026-04-13T00:47:59.862Z</dcterms:created>
  <dcterms:modified xsi:type="dcterms:W3CDTF">2026-04-13T00:47:59.862Z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