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000"/>
        <w:jc w:val="center"/>
      </w:pPr>
      <w:r>
        <w:rPr>
          <w:b/>
          <w:bCs/>
          <w:color w:val="C9A84C"/>
          <w:sz w:val="60"/>
          <w:szCs w:val="60"/>
        </w:rPr>
        <w:t xml:space="preserve">PIXOUL MOROCCO</w:t>
      </w:r>
    </w:p>
    <w:p>
      <w:pPr>
        <w:spacing w:after="300"/>
        <w:jc w:val="center"/>
      </w:pPr>
      <w:r>
        <w:rPr>
          <w:color w:val="0A1E3A"/>
          <w:sz w:val="32"/>
          <w:szCs w:val="32"/>
        </w:rPr>
        <w:t xml:space="preserve">Business Plan · Casablanca Launch</w:t>
      </w:r>
    </w:p>
    <w:p>
      <w:pPr>
        <w:spacing w:after="400"/>
        <w:jc w:val="center"/>
      </w:pPr>
      <w:r>
        <w:rPr>
          <w:i/>
          <w:iCs/>
          <w:color w:val="666666"/>
          <w:sz w:val="22"/>
          <w:szCs w:val="22"/>
        </w:rPr>
        <w:t xml:space="preserve">3-level · 3,850 m² · $12M CapEx · $14M total raise</w:t>
      </w:r>
    </w:p>
    <w:p>
      <w:pPr>
        <w:spacing w:after="120" w:before="2000"/>
        <w:jc w:val="center"/>
      </w:pPr>
      <w:r>
        <w:rPr>
          <w:color w:val="666666"/>
          <w:sz w:val="18"/>
          <w:szCs w:val="18"/>
        </w:rPr>
        <w:t xml:space="preserve">Prepared by</w:t>
      </w:r>
    </w:p>
    <w:p>
      <w:pPr>
        <w:jc w:val="center"/>
      </w:pPr>
      <w:r>
        <w:rPr>
          <w:b/>
          <w:bCs/>
          <w:sz w:val="22"/>
          <w:szCs w:val="22"/>
        </w:rPr>
        <w:t xml:space="preserve">Toufic Assaf · Founder &amp; Director</w:t>
      </w:r>
    </w:p>
    <w:p>
      <w:pPr>
        <w:spacing w:after="120"/>
        <w:jc w:val="center"/>
      </w:pPr>
      <w:r>
        <w:rPr>
          <w:color w:val="666666"/>
          <w:sz w:val="20"/>
          <w:szCs w:val="20"/>
        </w:rPr>
        <w:t xml:space="preserve">Pixoul Gaming &amp; Learning Academy</w:t>
      </w:r>
    </w:p>
    <w:p>
      <w:pPr>
        <w:spacing w:after="120"/>
        <w:jc w:val="center"/>
      </w:pPr>
      <w:r>
        <w:rPr>
          <w:i/>
          <w:iCs/>
          <w:color w:val="666666"/>
          <w:sz w:val="16"/>
          <w:szCs w:val="16"/>
        </w:rPr>
        <w:t xml:space="preserve">Confidential · April 2026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1. Executive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Pixoul Morocco is the Casablanca franchise of Pixoul Gaming &amp; Learning Academy, an Abu Dhabi-based education institution that uses gaming as its primary learning methodology. This document sets out the business plan for a 3,850 m² flagship venue in Casablanca, commissioned on a 10-year lease with lessor Idriss, with $12M total CapEx raised across 3 phases from a combination of equity investors, government co-investment, and a tokenization-structured vehicle in collaboration with BNQCorp.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The Casablanca opportunity combines three large structural trends: (1) Morocco's demographic bulge of 12M under-25s hungry for future-economy skills, (2) the government's ambition to deliver the 2030 World Cup alongside Vision Tourisme 2030 and the Nouveau Modèle de Développement strategy, and (3) a $7M+ revenue proof-point at the Abu Dhabi venue with Grant Thornton valuation of AED 38-48M.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Key metrics at a glance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Venue size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3,850 m² usable across 3 levels + 1,350 m² rooftop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Location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Casablanca · premium visibility · lessor Idriss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Capital raise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$14M total across 3 phases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Phase 1 raise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$4M at $12M pre-money · 25% equity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Year-3 target revenue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$5.07M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Year-3 EBITDA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$1.12M · 22% margin (realistic base case)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Year-3 Net post-tax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$0.83M · after D&amp;A and 26% IS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Year-3 Dividend (85% payout)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$0.70M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Phase 1 IRR · 5-year hold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17.5% IRR · 2.2× MOIC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Status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$2.0M committed + $8.2M in LOIs = 73% of $14M raise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2. The Concept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Pixoul is not an arcade. It is not a school. It is not a gaming café. It is a unified learning institution that uses gaming — across video games, esports, VR, robotics, and simulation — as the teaching medium for tomorrow's economy. The Casablanca venue expresses this through 7 distinct revenue pillars operating under one roof: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Gaming &amp; Entertainment — arcade floor, kids playground, Museum of Gaming, EVA VR arena (90 units total)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Pixoul Academy — 100 courses across 6 Diplomas (Game Design, AI, Cybersecurity, Data Science, FinTech, Esports Management), core tech courses, and 4 Morocco-economy programs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Events Center — double-height 500 m² atrium with 7-9m ceilings, serving corporate, private, activation, school, and tournament events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Esports — 50-seat PC café, tournament arena, coaching programs, team memberships, intensive bootcamps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F&amp;B &amp; Retail Subleases — sports bar, candy shop, birthday packages, 3 retail subtenants (electronics, toys, rotating concept)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Sponsorships &amp; Memberships — naming rights, screen advertising, tournament sponsors, 600-member program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Rooftop Rent Income — the rooftop is operated by an independent sub-tenant paying Pixoul 150% markup on the per-m² rate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What makes the unit economics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The secret sauce is shared infrastructure. Each revenue pillar uses the same reception, security, cleaning, HVAC, utilities, and branding. A single visitor can ride the arcade, attend a birthday, enrol in a Diploma, and attend their corporate training all under one roof. This drives blended CAC to a fraction of single-concept operators and produces defensible per-m² economics unmatched by stand-alone arcades, bootcamps, or event venues.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3. Market Opportunity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Morocco snapshot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Population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37M · median age 29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Under-25 cohort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12M+ (~32% of population)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Urban share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63% · Casablanca GMA ~4.4M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GDP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$142B (2023) · growing 3-3.5% annually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Unemployment (15-24)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32.5% — a national priority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Key govt initiatives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Vision Tourisme 2030 · NMD · Forsa · Awrach · 2030 FIFA World Cup</w:t>
            </w:r>
          </w:p>
        </w:tc>
      </w:tr>
    </w:tbl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Casablanca specifically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Casablanca is Morocco's economic capital, home to the country's largest financial center (Casablanca Finance City), the most dense corporate training demand, and the highest concentration of 16-30 year-olds with disposable income. The city already supports Fun Planet, Megarama, and Morocco Mall as general entertainment, but has no dedicated gaming-led edutainment venue, and no bridge between arcade entertainment and formal skill certification.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Addressable market sizing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Arcade &amp; entertainment: ~60K visits/month across current Casablanca operators at $4-8/visit = ~$3-5M/yr existing spend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Private tutoring &amp; training: ~$200M/yr Casablanca spend across language schools, tutoring, bootcamps, vocational institutes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Corporate training: Casa B2B market ~$80-120M/yr · typical per-day rate $1.5-2.5K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Events: hotel ballroom capacity heavily constrained · private event venue demand growing 12%/yr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4. Business Model &amp; Revenue Architecture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Pixoul Morocco generates revenue across 7 pillars, with blended gross margin of ~85% on F&amp;B (after COGS) and ~70% on academic/events, funded by shared overhead of ~$2M/yr (rent, admin staff, HVAC, marketing, insurance, maintenance, game content updates, equipment replacement reserve).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Pillar-by-pillar Year-3 targets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Gaming &amp; Entertainment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~$2.10M (weekly footfall 400, $12 blended spend, 340 days)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Pixoul Academy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~$1.74M (150 course runs + 18 diploma runs + corporate + camps + 15 school partners @ $15K)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Events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~$180K (42 total events across 5 categories)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Esports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~$390K (50 PCs @ 35% occ, tournaments, coaching, 6 bootcamps)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F&amp;B + Retail + Memberships + Sponsorships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~$560K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Rooftop rent income (net margin to Pixoul)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~$105K (separate entity, 150% markup on head lease)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TOTAL Y3 REVENUE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$5.07M</w:t>
            </w:r>
          </w:p>
        </w:tc>
      </w:tr>
    </w:tbl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Cost architecture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Direct pillar costs (variable)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~$1.46M (COGS, prizes, materials, direct staff)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Shared OpEx (rent, admin, utilities, maintenance, marketing 8%)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~$2.49M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EBITDA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~$1.12M (22% margin)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D&amp;A ($12M CapEx, 6.5-yr blended life)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~$0.18M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EBIT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~$0.94M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IS Tax (26%)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~$0.24M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Net post-tax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~$0.70M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Dividend (85% payout)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~$0.60M/yr Year 3, ramping to $0.85M by Year 5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5. Investment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Capital is raised across three phases aligned with the operational ramp-up, each with progressively lower risk and therefore progressively higher valuation.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Phase 1: Go-ahead raise — $4M at $12M pre-money · 25% equity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Closes contingent on signed lessor LOI. Funds construction, fit-out Phase 1, initial equipment, OpEx reserve, and pre-launch marketing. Primary use: getting the venue physically operational. Expected close: 55 days from this plan delivery.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Phase 2: Construction completion — $5M at $15M pre-money · 25% equity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Closes on topping-out of construction, de-risked by Phase 1 momentum. Funds final equipment (simulators, EVA VR, full museum build-out), working capital for ramp quarter, and Year-1 marketing push.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Phase 3: Operational — $5M at $20M pre-money · 20% equity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Closes Year-1 post-opening on validated unit economics. Funds Phase 2 territorial expansion (Rabat, Marrakech) or acquisitions, as well as tech platform investment.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Investor returns profile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Phase 1 IRR (5-yr hold)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17.5% annualized (base case)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Phase 1 MOIC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2.2× on exit at Year 5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Phase 1 dividend IRR component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2.5 pp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Phase 1 exit IRR component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2.5 pp (at 8× Y5 EBITDA)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Required return (hurdle)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12.5% (3.5% risk-free + 9.0% aggregated risk premia)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Base case spread over hurdle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5.0 pp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Exit multiple assumption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8× EBITDA (entertainment + edutech blended comp)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Dividend policy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85% of post-tax net profit from first profitable year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6. Use of Funds ($12M CapEx)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Franchise fee (Pixoul AD)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$550K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Pre-launch marketing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$400K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Pixoul simulators + arcade machines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$4.9M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Pixoul games / software / IP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$1.0M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Redemption prizes &amp; tickets (starter stock)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$200K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Gaming PCs + esports licenses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$540K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Event center fit-out + AV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$500K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Academy + lab equipment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$500K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Museum equipment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$500K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Interactive kids playground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$150K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Kitchen equipment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Music studio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$150K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Furniture &amp; interior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$350K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Shipping &amp; customs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$300K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OpEx reserve (6 months)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$400K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Miscellaneous + contingency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$100K</w:t>
            </w:r>
          </w:p>
        </w:tc>
      </w:tr>
      <w:tr>
        <w:tc>
          <w:tcPr>
            <w:tcW w:type="pct" w:w="35%"/>
            <w:shd w:fill="F5F5F5" w:color="auto" w:val="clear"/>
          </w:tcPr>
          <w:p>
            <w:r>
              <w:rPr>
                <w:b/>
                <w:bCs/>
                <w:sz w:val="18"/>
                <w:szCs w:val="18"/>
              </w:rPr>
              <w:t xml:space="preserve">TOTAL</w:t>
            </w:r>
          </w:p>
        </w:tc>
        <w:tc>
          <w:tcPr>
            <w:tcW w:type="pct" w:w="65%"/>
          </w:tcPr>
          <w:p>
            <w:r>
              <w:rPr>
                <w:sz w:val="18"/>
                <w:szCs w:val="18"/>
              </w:rPr>
              <w:t xml:space="preserve">$12.0M</w:t>
            </w:r>
          </w:p>
        </w:tc>
      </w:tr>
    </w:tbl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Available subsidies &amp; offsets (potential)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VAT rebate on equipment (20%) — up to ~$1.5M savings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Morocco Investment Fund (10% of qualifying CapEx) — up to ~$1.2M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SMIT Tourism grant — up to ~$1.5M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Duty exemption on imported equipment — ~$1.0M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CNSS employment subsidy (18% of eligible salaries · Forsa/Awrach alignment)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Cumulative potential: up to $5M+ in offsets · materially reduces effective cash outlay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7. Team &amp; Track Record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Toufic Assaf, Founder &amp; Director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Founded Pixoul Gaming &amp; Learning Academy in Abu Dhabi in November 2022. Built the AD venue to $7M+ annual revenue, 147K+ students trained, and Grant Thornton valuation of AED 38-48M. Oversees curriculum, partnerships, operations, and brand expansion.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Abu Dhabi anchor venue (proof of concept)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4,500 m² at Al Qana, opened Nov 2022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147,000+ students trained across all programs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$7M+ annual revenue · confirmed via audited accounts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100+ active school partnerships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Pixoul esports programs across UAE, national tournaments run annually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Grant Thornton valuation: AED 38-48M (as of recent independent review)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Ministry &amp; government relationships (Morocco)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LOIs submitted to Ministry of Youth, Culture &amp; Communication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LOIs submitted to Ministry of Tourism, Crafts &amp; Social Economy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LOIs submitted to Ministry of Education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LOI submitted to SMIT (Société Marocaine d'Ingénierie Touristique) DG Imad Barrakad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Relationship with OFPPT for potential co-financing of vocational programs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8. Execution Roadmap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Phase 1 — Next 8 weeks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Week 1-2: Sign lessor LOI with Idriss; commission architect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Week 3-4: Close Phase 1 equity ($4M); BNQCorp tokenization structure finalized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Week 5-6: Ministry LOI confirmations; preliminary construction drawings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Week 7-8: Break ground; announce first wave of hiring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Phase 2 — Months 3-8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Construction &amp; fit-out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Staff hiring &amp; training (AD ↔ Casa exchange visits)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Curriculum localization to Arabic + French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Pre-launch marketing campaign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Close Phase 2 equity ($5M)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Phase 3 — Months 9-12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Soft launch (school groups + media previews)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Grand opening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Operational ramp Month 1-3 post-opening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Year 2+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Close Phase 3 equity on validated unit economics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Begin territorial expansion evaluation (Rabat, Marrakech, Tangier)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Saudi Arabia &amp; wider MENA expansion discussions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9. Key Risks &amp; Mitigants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Construction delay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Mitigant: fixed-price GMP contract with experienced contractor (3+ comparable projects), penalty clauses, rent-free fit-out period with lessor (4-6 months), construction reserve of 10% built into CapEx.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Ramp-up / demand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Mitigant: 5 ministry LOIs provide institutional demand from Day 1 via school groups and government programs. AD proof-point gives confidence in arcade/entertainment demand. Pre-launch memberships target of 300 pre-opening sign-ups.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Forex / operating cost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Mitigant: most revenue denominated in MAD; majority of OpEx (rent, salaries, utilities) also MAD. Equipment imports in USD/EUR hedged by phasing. 3% annual price-increase assumption in the model covers CPI drift.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Regulatory / permitting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Mitigant: SMIT partnership provides regulatory navigation; ministries actively want this venue to open in time for World Cup 2030; BNQCorp structure is designed to comply with both Moroccan and UAE financial regulations.</w:t>
      </w:r>
    </w:p>
    <w:p>
      <w:pPr>
        <w:pStyle w:val="Heading2"/>
        <w:spacing w:after="140" w:before="260"/>
      </w:pPr>
      <w:r>
        <w:rPr>
          <w:b/>
          <w:bCs/>
          <w:color w:val="0A1E3A"/>
          <w:sz w:val="24"/>
          <w:szCs w:val="24"/>
        </w:rPr>
        <w:t xml:space="preserve">Talent / operations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Mitigant: existing AD team provides 6-12 month operational support; key leadership roles (GM, Academy Director, Gaming Operations Manager) pre-identified from Pixoul AD network; CNSS employment subsidies reduce labor cost.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C9A84C"/>
          <w:sz w:val="30"/>
          <w:szCs w:val="30"/>
        </w:rPr>
        <w:t xml:space="preserve">10.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Pixoul Morocco is positioned at the intersection of three structural tailwinds: Morocco's demographic dividend, the 2030 World Cup / Vision Tourisme 2030 / NMD alignment, and the global rise of education-as-entertainment. The Abu Dhabi anchor proves the concept; the Casablanca plate size, government relationships, and team readiness make Morocco the right next market.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This plan is supported by a live intelligence suite showing the full financial model, 100-course catalog, floor plan, lessor meeting documentation, and detailed cap table. All assumptions in this document are live-editable in the intelligence suite at live.pixoul.ma (access gated).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We are raising $4M Phase 1 at $12M pre-money valuation. Of this, $2M is committed by anchor investor and $8.2M is in LOIs across the pipeline (73% of total $14M raise covered). Close target: 55 days.</w:t>
      </w:r>
    </w:p>
    <w:p>
      <w:r>
        <w:t xml:space="preserve"/>
      </w:r>
    </w:p>
    <w:p>
      <w:pPr>
        <w:spacing w:before="600"/>
        <w:jc w:val="center"/>
      </w:pPr>
      <w:r>
        <w:rPr>
          <w:b/>
          <w:bCs/>
          <w:sz w:val="22"/>
          <w:szCs w:val="22"/>
        </w:rPr>
        <w:t xml:space="preserve">Toufic Assaf</w:t>
      </w:r>
    </w:p>
    <w:p>
      <w:pPr>
        <w:jc w:val="center"/>
      </w:pPr>
      <w:r>
        <w:rPr>
          <w:color w:val="666666"/>
          <w:sz w:val="18"/>
          <w:szCs w:val="18"/>
        </w:rPr>
        <w:t xml:space="preserve">Founder &amp; Director, Pixoul Gaming</w:t>
      </w:r>
    </w:p>
    <w:p>
      <w:pPr>
        <w:spacing w:after="120"/>
        <w:jc w:val="center"/>
      </w:pPr>
      <w:r>
        <w:rPr>
          <w:i/>
          <w:iCs/>
          <w:color w:val="666666"/>
          <w:sz w:val="18"/>
          <w:szCs w:val="18"/>
        </w:rPr>
        <w:t xml:space="preserve">Abu Dhabi · Casablanca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4"/>
        <w:szCs w:val="14"/>
      </w:rPr>
      <w:t xml:space="preserve">Confidential · Toufic Assaf · </w:t>
    </w:r>
    <w:r>
      <w:rPr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4"/>
        <w:szCs w:val="14"/>
      </w:rPr>
      <w:t xml:space="preserve">PIXOUL MOROCCO · BUSINESS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Pixoul Morocco Business Plan</dc:title>
  <dc:creator>Toufic Assaf</dc:creator>
  <dc:description>Business plan for Pixoul Gaming &amp; Learning Academy Casablanca franchise</dc:description>
  <cp:lastModifiedBy>Un-named</cp:lastModifiedBy>
  <cp:revision>1</cp:revision>
  <dcterms:created xsi:type="dcterms:W3CDTF">2026-04-13T14:13:31.451Z</dcterms:created>
  <dcterms:modified xsi:type="dcterms:W3CDTF">2026-04-13T14:13:31.451Z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