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C9A84C"/>
          <w:sz w:val="44"/>
          <w:szCs w:val="44"/>
        </w:rPr>
        <w:t xml:space="preserve">PIXOUL MOROCCO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2A4A"/>
          <w:sz w:val="32"/>
          <w:szCs w:val="32"/>
        </w:rPr>
        <w:t xml:space="preserve">Final Financial &amp; Operating Assumptions</w:t>
      </w:r>
    </w:p>
    <w:p>
      <w:pPr>
        <w:spacing w:after="2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All variables, ranges, sources, and decision rules baked into the Intelligence Suite model</w:t>
      </w:r>
    </w:p>
    <w:p>
      <w:pPr>
        <w:spacing w:after="360" w:before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Version 8.0 · April 2026 · Confidential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1. Macro &amp; Country Assumptions</w:t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500"/>
        <w:gridCol w:w="3900"/>
      </w:tblGrid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Variable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  <w:tc>
          <w:tcPr>
            <w:tcW w:type="dxa" w:w="3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/ Rationale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Exchange rate USD → MAD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~10.05</w:t>
            </w:r>
          </w:p>
        </w:tc>
        <w:tc>
          <w:tcPr>
            <w:tcW w:type="dxa" w:w="3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Bank Al-Maghrib, April 2026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Exchange rate USD → EUR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~0.92</w:t>
            </w:r>
          </w:p>
        </w:tc>
        <w:tc>
          <w:tcPr>
            <w:tcW w:type="dxa" w:w="3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ECB, April 2026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Morocco corporate income tax (IS)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26%</w:t>
            </w:r>
          </w:p>
        </w:tc>
        <w:tc>
          <w:tcPr>
            <w:tcW w:type="dxa" w:w="3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Loi de Finances 2024-2026 standard rate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Morocco standard VAT rate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20%</w:t>
            </w:r>
          </w:p>
        </w:tc>
        <w:tc>
          <w:tcPr>
            <w:tcW w:type="dxa" w:w="3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Recoverable on capex investments under Investment Charter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Customs duty — gaming/edu equipment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15% blended</w:t>
            </w:r>
          </w:p>
        </w:tc>
        <w:tc>
          <w:tcPr>
            <w:tcW w:type="dxa" w:w="3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Educational equipment partial exemption applies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CNSS (employer social charge)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18.4% on salaries</w:t>
            </w:r>
          </w:p>
        </w:tc>
        <w:tc>
          <w:tcPr>
            <w:tcW w:type="dxa" w:w="3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Code de la Sécurité Sociale 2024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TAEHIL employment subsidy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18% CNSS offset</w:t>
            </w:r>
          </w:p>
        </w:tc>
        <w:tc>
          <w:tcPr>
            <w:tcW w:type="dxa" w:w="3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First 18 months for new hires under Forsa programme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2. Revenue Model — Per-Pillar Assumptions</w:t>
      </w:r>
    </w:p>
    <w:p>
      <w:pPr>
        <w:pStyle w:val="Heading2"/>
        <w:pBdr>
          <w:bottom w:val="single" w:color="C9A84C" w:sz="8" w:space="4"/>
        </w:pBdr>
        <w:spacing w:after="140" w:before="280"/>
      </w:pPr>
      <w:r>
        <w:rPr>
          <w:rFonts w:ascii="Arial" w:cs="Arial" w:eastAsia="Arial" w:hAnsi="Arial"/>
          <w:b/>
          <w:bCs/>
          <w:color w:val="1A2A4A"/>
          <w:sz w:val="28"/>
          <w:szCs w:val="28"/>
        </w:rPr>
        <w:t xml:space="preserve">2.1 Gaming Pillar (~$2.99M Year 3)</w:t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200"/>
        <w:gridCol w:w="1500"/>
        <w:gridCol w:w="4000"/>
      </w:tblGrid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Driver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Default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Range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Rationale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Weekly visitors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100–3,000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Conservative ramp; Morocco Mall does 15K+/weekend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Avg arcade spend per visit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$8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$2–$30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Token + redemption + bonus credits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Operating days/year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340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200–365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Excludes maintenance shutdowns; Ramadan reduced hours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Console gaming spend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$8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$2–$20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~10% of visitors use console area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Redemption prize cost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22% of arcade rev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10%–40%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Industry standard 18–25%; bulk China sourcing reduces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Kids playground entry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$12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$5–$30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Under-8 segment; ~15% of weekly visitors have kids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EVA VR occupancy rate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35%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0%–100%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Conservative vs EVA franchise avg 50%+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EVA sessions/day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1–20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45-min sessions × 15-hr operating window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EVA royalty</w:t>
            </w:r>
          </w:p>
        </w:tc>
        <w:tc>
          <w:tcPr>
            <w:tcW w:type="dxa" w:w="1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8%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Fixed</w:t>
            </w:r>
          </w:p>
        </w:tc>
        <w:tc>
          <w:tcPr>
            <w:tcW w:type="dxa" w:w="4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Higher than franchise default 5% — buffer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pBdr>
          <w:bottom w:val="single" w:color="C9A84C" w:sz="8" w:space="4"/>
        </w:pBdr>
        <w:spacing w:after="140" w:before="280"/>
      </w:pPr>
      <w:r>
        <w:rPr>
          <w:rFonts w:ascii="Arial" w:cs="Arial" w:eastAsia="Arial" w:hAnsi="Arial"/>
          <w:b/>
          <w:bCs/>
          <w:color w:val="1A2A4A"/>
          <w:sz w:val="28"/>
          <w:szCs w:val="28"/>
        </w:rPr>
        <w:t xml:space="preserve">2.2 Rooftop Bar Pillar (~$4.50M Year 3 — at 130 nights)</w:t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500"/>
        <w:gridCol w:w="1500"/>
        <w:gridCol w:w="3700"/>
      </w:tblGrid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Driver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Default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Range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Rationale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Operating nights/year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130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50–340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Thu–Sat baseline 156; reduced for ramp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Lounge tables (premium reserved)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configurable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$1,200 minimum spend per table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High tables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15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configurable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$700 minimum spend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Walk-in guests/night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0–2,000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Non-table guests at $30 minimum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F&amp;B COGS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30% of revenue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Fixed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Industry standard premium bar 28–32%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pBdr>
          <w:bottom w:val="single" w:color="C9A84C" w:sz="8" w:space="4"/>
        </w:pBdr>
        <w:spacing w:after="140" w:before="280"/>
      </w:pPr>
      <w:r>
        <w:rPr>
          <w:rFonts w:ascii="Arial" w:cs="Arial" w:eastAsia="Arial" w:hAnsi="Arial"/>
          <w:b/>
          <w:bCs/>
          <w:color w:val="1A2A4A"/>
          <w:sz w:val="28"/>
          <w:szCs w:val="28"/>
        </w:rPr>
        <w:t xml:space="preserve">2.3 Academy Pillar (~$453K Year 3)</w:t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500"/>
        <w:gridCol w:w="1500"/>
        <w:gridCol w:w="3700"/>
      </w:tblGrid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Driver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Default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Range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Rationale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Course fee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$480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$150–$2,000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12-week course ~4,800 MAD; matches private language schools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Cohort size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14 students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configurable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Avg classroom capacity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Course runs/year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5–920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Across all course types combined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Diploma fee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$1,400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$400–$4,000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6-month program; HEC Casa charges $1,200–$2,500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Diploma cohort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 students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configurable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Smaller for hands-on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Diploma runs/year per program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0–10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 programs × 2 runs × 10 students × $1,400 = $168K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Corporate B2B day rate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$8,000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$1,000–$30,000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Hotel ballrooms charge $8K–$20K; tech ambiance premium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Corporate days/year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18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0–100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Reduced from 30 for conservatism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Summer camps fee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$680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$200–$2,000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2-week intensive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Instructor fee % of revenue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28%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Fixed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Industry standard freelance instructor split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Online students/year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0–3,000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Digital enrollment via Pixoul Online platform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Online course fee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$180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$50–$500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~38% of in-person; digital-native MENA pricing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Online direct cost %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12%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5%–40%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Platform fee + payment processing only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pBdr>
          <w:bottom w:val="single" w:color="C9A84C" w:sz="8" w:space="4"/>
        </w:pBdr>
        <w:spacing w:after="140" w:before="280"/>
      </w:pPr>
      <w:r>
        <w:rPr>
          <w:rFonts w:ascii="Arial" w:cs="Arial" w:eastAsia="Arial" w:hAnsi="Arial"/>
          <w:b/>
          <w:bCs/>
          <w:color w:val="1A2A4A"/>
          <w:sz w:val="28"/>
          <w:szCs w:val="28"/>
        </w:rPr>
        <w:t xml:space="preserve">2.4 Events Center (~$518K Year 3)</w:t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500"/>
        <w:gridCol w:w="1500"/>
        <w:gridCol w:w="3700"/>
      </w:tblGrid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Driver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Default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Range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Rationale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Corporate events/year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18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0–100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Product launches, AGMs, conferences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Corporate day rate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$8,000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$1K–$30K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Premium venue positioning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Birthday parties/month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30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configurable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Esports / kids segments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Birthday avg revenue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$650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configurable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 children × $50 + add-ons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Esports tournaments/year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configurable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Hosted internally; sponsor-funded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pBdr>
          <w:bottom w:val="single" w:color="C9A84C" w:sz="8" w:space="4"/>
        </w:pBdr>
        <w:spacing w:after="140" w:before="280"/>
      </w:pPr>
      <w:r>
        <w:rPr>
          <w:rFonts w:ascii="Arial" w:cs="Arial" w:eastAsia="Arial" w:hAnsi="Arial"/>
          <w:b/>
          <w:bCs/>
          <w:color w:val="1A2A4A"/>
          <w:sz w:val="28"/>
          <w:szCs w:val="28"/>
        </w:rPr>
        <w:t xml:space="preserve">2.5 Esports Pillar (~$572K Year 3)</w:t>
      </w:r>
    </w:p>
    <w:tbl>
      <w:tblPr>
        <w:tblW w:type="dxa" w:w="8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500"/>
        <w:gridCol w:w="1500"/>
        <w:gridCol w:w="3700"/>
      </w:tblGrid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Driver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Default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Range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Rationale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PC seats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fixed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RTX 4090 high-spec rigs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Hourly rate per seat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$2.50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$0.50–$10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~25 MAD/hr; market is 10–15 MAD; premium positioning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Average daily occupancy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40%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configurable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Conservative; peak 80%+ weekends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Tournament hosting fees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configurable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—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Sponsor-funded, profit-share basis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Coaching session rate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$50/hr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configurable</w:t>
            </w:r>
          </w:p>
        </w:tc>
        <w:tc>
          <w:tcPr>
            <w:tcW w:type="dxa" w:w="3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BenQ ZOWIE certified academy fee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3. Cost Model — Per-Pillar Direct Costs</w:t>
      </w:r>
    </w:p>
    <w:p>
      <w:pPr>
        <w:spacing w:after="200" w:before="0"/>
        <w:jc w:val="left"/>
      </w:pPr>
      <w:r>
        <w:rPr>
          <w:rFonts w:ascii="Arial" w:cs="Arial" w:eastAsia="Arial" w:hAnsi="Arial"/>
        </w:rPr>
        <w:t xml:space="preserve">All direct costs are pillar-specific and roll up live into the OpEx slide. The OpEx Linked Mode adds them automatically to total operating expenditure. The OpEx Manual Mode lets the user override.</w:t>
      </w:r>
    </w:p>
    <w:p>
      <w:pPr>
        <w:pStyle w:val="Heading2"/>
        <w:pBdr>
          <w:bottom w:val="single" w:color="C9A84C" w:sz="8" w:space="4"/>
        </w:pBdr>
        <w:spacing w:after="140" w:before="280"/>
      </w:pPr>
      <w:r>
        <w:rPr>
          <w:rFonts w:ascii="Arial" w:cs="Arial" w:eastAsia="Arial" w:hAnsi="Arial"/>
          <w:b/>
          <w:bCs/>
          <w:color w:val="1A2A4A"/>
          <w:sz w:val="28"/>
          <w:szCs w:val="28"/>
        </w:rPr>
        <w:t xml:space="preserve">3.1 Master Cost Drivers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Rent: $700,000/year (Idriss negotiated; Year 1 = FREE grace period)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Total salaries: $700,000/year (auto-composed from pillar sliders, can be overridden)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CNSS: 18.4% of salaries (auto-calculated; reduced by TAEHIL subsidy when active)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Electricity &amp; HVAC: $150,000 (60 RTX 4090 PCs + LED walls + venue)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Marketing: 3.0% of revenue (master control on OpEx slide; mirrored in 5-year scenario)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Insurance: $80,000 (commercial general + cyber + content)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Licenses &amp; subscriptions: $100,000 (game licenses, SaaS, EVA royalty)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Maintenance &amp; repairs: $80,000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Admin &amp; professional fees: $60,000 (accounting, legal, HR consulting)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Robocom service fee: 3% of revenue (franchise management to Pixoul HQ)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Cleaning &amp; consumables: $36,000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Security: configurable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Credit card processing: 1.5% of revenue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4. CapEx Model — Default Allocation ($10.84M)</w:t>
      </w:r>
    </w:p>
    <w:tbl>
      <w:tblPr>
        <w:tblW w:type="dxa" w:w="8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700"/>
        <w:gridCol w:w="1500"/>
        <w:gridCol w:w="1700"/>
      </w:tblGrid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Line Item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Amount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VAT Recoverable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Pixoul Simulators + Arcade Machines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$4,900,000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Phase 1+2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Yes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Pixoul Games / Software / IP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$1,000,000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Phase 2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Yes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Redemption Prizes &amp; Tickets (initial)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$200,000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Phase 1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Partial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Gaming PCs + Licenses (60 stations)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$540,000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Phase 1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Yes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Academy + Lab Equipment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$500,000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Phase 1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Yes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Museum Equipment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$500,000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Phase 2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Yes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EVA VR Arena (franchise + install)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$1,500,000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Phase 1+2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Partial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Construction &amp; Build-Out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$2,000,000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Phase 1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Furniture, Fixtures &amp; Equipment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$800,000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Phase 1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Partial</w:t>
            </w:r>
          </w:p>
        </w:tc>
      </w:tr>
      <w:tr>
        <w:tc>
          <w:tcPr>
            <w:tcW w:type="dxa" w:w="3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Pre-launch Marketing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$400,000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Phase 1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No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5. Subsidy &amp; Incentive Stack</w:t>
      </w:r>
    </w:p>
    <w:tbl>
      <w:tblPr>
        <w:tblW w:type="dxa" w:w="9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700"/>
        <w:gridCol w:w="1700"/>
        <w:gridCol w:w="300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Subsidy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Toggle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Saving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VAT recovery (20% on equipment)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cx-sub-vat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$1,520,000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Loi des Finances · Investment Charter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Customs duty exemption (15%)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cx-sub-duty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$1,140,000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Educational equipment exemption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Investment Fund grant (10%)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cx-sub-investfund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$1,084,000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Conditional approval; &lt;40 employees + sector eligibility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SMIT touristic infrastructure grant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cx-sub-smit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$1,500,000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Conditional on tourism designation; LOI submitted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TAEHIL employment subsidy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sub-emp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~$129K/yr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CNSS offset on first 18 months for new hires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6. Valuation Model</w:t>
      </w:r>
    </w:p>
    <w:tbl>
      <w:tblPr>
        <w:tblW w:type="dxa" w:w="9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2400"/>
        <w:gridCol w:w="3100"/>
      </w:tblGrid>
      <w:tr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Year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Method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Multiplier</w:t>
            </w:r>
          </w:p>
        </w:tc>
        <w:tc>
          <w:tcPr>
            <w:tcW w:type="dxa" w:w="3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Use Case</w:t>
            </w:r>
          </w:p>
        </w:tc>
      </w:tr>
      <w:tr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Year 1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Cost-based + DCF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CapEx + 1× revenue</w:t>
            </w:r>
          </w:p>
        </w:tc>
        <w:tc>
          <w:tcPr>
            <w:tcW w:type="dxa" w:w="3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Initial recovery valuation</w:t>
            </w:r>
          </w:p>
        </w:tc>
      </w:tr>
      <w:tr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Year 3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EBITDA multiple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7× EBITDA</w:t>
            </w:r>
          </w:p>
        </w:tc>
        <w:tc>
          <w:tcPr>
            <w:tcW w:type="dxa" w:w="3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Mid-stage benchmark</w:t>
            </w:r>
          </w:p>
        </w:tc>
      </w:tr>
      <w:tr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Year 5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EBITDA multiple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8× EBITDA</w:t>
            </w:r>
          </w:p>
        </w:tc>
        <w:tc>
          <w:tcPr>
            <w:tcW w:type="dxa" w:w="3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Mature operations comparable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00" w:before="0"/>
        <w:jc w:val="left"/>
      </w:pPr>
      <w:r>
        <w:rPr>
          <w:rFonts w:ascii="Arial" w:cs="Arial" w:eastAsia="Arial" w:hAnsi="Arial"/>
          <w:b/>
          <w:bCs/>
        </w:rPr>
        <w:t xml:space="preserve">Phase-based investment terms: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Phase 1 (Early Bird): $4M raise at $12M valuation = 33.3% equity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Phase 2 (Standard): $4M raise at $15M valuation = 26.7% equity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Phase 3 (Growth): $4M+ raise at $20M valuation = 20.0% equity per tranche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7. Scenario Builder Defaults</w:t>
      </w:r>
    </w:p>
    <w:tbl>
      <w:tblPr>
        <w:tblW w:type="dxa" w:w="9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300"/>
        <w:gridCol w:w="2300"/>
        <w:gridCol w:w="2600"/>
      </w:tblGrid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Scenario</w:t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Year 1 % of Y3</w:t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Year 2 % of Y3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2A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Year 3+ Multiplier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Bear</w:t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40%</w:t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60%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85%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Conservative</w:t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50%</w:t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75%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95%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Moderate (default)</w:t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55%</w:t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80%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100%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Optimistic</w:t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65%</w:t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90%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110%</w:t>
            </w:r>
          </w:p>
        </w:tc>
      </w:tr>
      <w:tr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Bull</w:t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75%</w:t>
            </w:r>
          </w:p>
        </w:tc>
        <w:tc>
          <w:tcPr>
            <w:tcW w:type="dxa" w:w="2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100%</w:t>
            </w:r>
          </w:p>
        </w:tc>
        <w:tc>
          <w:tcPr>
            <w:tcW w:type="dxa" w:w="2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125%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8. Year-by-Year OpEx Adjustments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Year 1: 85% of stabilized OpEx (reduced staff, partial operations)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Year 2: 95% of stabilized OpEx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Year 3: 100% baseline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Year 4: 104% (4% inflation)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Year 5: 108% (continued inflation)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Marketing: scales linearly with each year revenue × master % (default 3.0%)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Rent: Year 1 = $0 (Idriss grace period), Year 2-5 = full $700K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9. Sensitivity Levers (Tornado Chart Inputs)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Gaming weekly visitors (highest-impact revenue lever): ±50% impact range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Rooftop operating nights: ±40% impact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Marketing % of revenue: ±2 percentage points = ±$120K opex impact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EVA VR occupancy: ±20 percentage points = ±$190K revenue impact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Subsidy stack activation: $0 to $5.24M CapEx reduction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10. Decision Rules Embedded in the Model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Redemption prize cost = MAX of (% rev calculation, annual CapEx replenishment of stock) — guarantees floor cost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Maintenance = 2.0% of consolidated arcade+sim CapEx per year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VR/sim licenses = 0.5% of consolidated CapEx + $4K base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Break-even calculations: contribution margin per unit (excludes fixed OpEx)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Marketing in P&amp;L computed twice (Year 3 baseline + per-year scenario) but never double-counted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Pillar staff costs are accounted in pillar direct costs only (no double-count in shared OpEx)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Equipment amortization: 4-year straight-line on classroom/lab equipment, 7-year on simulators+arcade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11. Conservative Choices Built In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EVA royalty 8% (vs franchise default 5%)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Year 1 Gaming weekly visitors 400 (vs Pixoul UAE which does 600+)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Marketing default 3% (industry benchmark 3–8%)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Rooftop nights 130 default (vs 156 baseline Thu–Sat year-round)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Corporate events 18/year (vs Pixoul UAE which does 30+)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Investment Fund grant assumed at 0 unless explicitly toggled (10% upside)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 revenue from school B2B contracts modeled (Pixoul UAE generates $300K+/yr; Morocco upside)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No streaming/broadcast revenue modeled (Pixoul UAE produces and distributes events)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1A2A4A"/>
          <w:sz w:val="36"/>
          <w:szCs w:val="36"/>
        </w:rPr>
        <w:t xml:space="preserve">12. Known Risks &amp; Open Items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Idriss lease finalization (60-day target post-presentation) — affects entire timeline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SMIT grant confirmation — $1.5M is conditional; modeled as toggle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Investment Fund eligibility — conditional on Pixoul Morocco employee headcount and sector classification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Customs duty exemption — requires explicit educational equipment classification at import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FX risk on equipment imports (USD-denominated) vs MAD revenue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Construction cost inflation in Casablanca during 2026–2027 build period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Talent recruitment for esports academy + senior instructors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Local content licensing (game catalog, music for rooftop bar) negotiated separately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A2A4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1A2A4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2026-04-12T14:24:41.068Z</dcterms:created>
  <dcterms:modified xsi:type="dcterms:W3CDTF">2026-04-12T14:24:41.068Z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