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C9A84C"/>
          <w:sz w:val="44"/>
          <w:szCs w:val="44"/>
        </w:rPr>
        <w:t xml:space="preserve">PIXOUL MOROCCO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2A4A"/>
          <w:sz w:val="32"/>
          <w:szCs w:val="32"/>
        </w:rPr>
        <w:t xml:space="preserve">Equipment Cost Defense Document</w:t>
      </w:r>
    </w:p>
    <w:p>
      <w:pPr>
        <w:spacing w:after="2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CapEx Validation · Vendor Sources · Comparable Pricing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Prepared for: Investor Due Diligence + Government Procurement Review</w:t>
      </w:r>
    </w:p>
    <w:p>
      <w:pPr>
        <w:spacing w:after="360" w:before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Date: April 2026 · Confidential</w:t>
      </w:r>
    </w:p>
    <w:p>
      <w:pPr>
        <w:spacing w:after="120"/>
      </w:pPr>
      <w: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1. Executive Summary</w:t>
      </w:r>
    </w:p>
    <w:p>
      <w:pPr>
        <w:spacing w:after="180" w:before="0"/>
        <w:jc w:val="left"/>
      </w:pPr>
      <w:r>
        <w:rPr>
          <w:rFonts w:ascii="Arial" w:cs="Arial" w:eastAsia="Arial" w:hAnsi="Arial"/>
        </w:rPr>
        <w:t xml:space="preserve">This document substantiates the $10.84M total CapEx budget proposed for Pixoul Morocco, with itemized vendor research, market-rate comparables, and procurement strategy. All major equipment line items have been validated against current public vendor pricing as of April 2026.</w:t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color w:val="1A2A4A"/>
        </w:rPr>
        <w:t xml:space="preserve">Key validation finding: </w:t>
      </w:r>
    </w:p>
    <w:p>
      <w:pPr>
        <w:spacing w:after="240" w:before="0"/>
        <w:jc w:val="left"/>
      </w:pPr>
      <w:r>
        <w:rPr>
          <w:rFonts w:ascii="Arial" w:cs="Arial" w:eastAsia="Arial" w:hAnsi="Arial"/>
        </w:rPr>
        <w:t xml:space="preserve">The Pixoul Morocco CapEx budget tracks within ±8% of comparable institutional installations in the GCC and EU markets, while incorporating Morocco-specific cost advantages (lower labor, government subsidies, customs duty exemptions for educational equipment).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2. Major CapEx Lines — Vendor-Validated Pricing</w:t>
      </w:r>
    </w:p>
    <w:p>
      <w:pPr>
        <w:pStyle w:val="Heading2"/>
        <w:pBdr>
          <w:bottom w:val="single" w:color="C9A84C" w:sz="8" w:space="4"/>
        </w:pBdr>
        <w:spacing w:after="140" w:before="280"/>
      </w:pPr>
      <w:r>
        <w:rPr>
          <w:rFonts w:ascii="Arial" w:cs="Arial" w:eastAsia="Arial" w:hAnsi="Arial"/>
          <w:b/>
          <w:bCs/>
          <w:color w:val="1A2A4A"/>
          <w:sz w:val="28"/>
          <w:szCs w:val="28"/>
        </w:rPr>
        <w:t xml:space="preserve">2.1 EVA VR Free-Roam Arena ($1.5M franchise commitment)</w:t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</w:rPr>
        <w:t xml:space="preserve">Vendor: EVA.gg (Esports Virtual Arenas, France) — eva.gg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Initial investment: $1,500,000 (verified at topfranchise.com/products/eva-esports-virtual-arenas-franchise/)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Average revenue: $160,000/month per location (EVA franchise data)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Royalty: 5% of revenue (Pixoul model uses 8% — conservative buffer)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Payback period: 36 months (industry standard claim)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Footprint: 500m² (5,400 sq ft) per arena, 10 simultaneous players</w:t>
      </w:r>
    </w:p>
    <w:p>
      <w:pPr>
        <w:spacing w:after="120" w:before="0"/>
        <w:jc w:val="left"/>
      </w:pPr>
      <w:r>
        <w:rPr>
          <w:rFonts w:ascii="Arial" w:cs="Arial" w:eastAsia="Arial" w:hAnsi="Arial"/>
          <w:i/>
          <w:iCs/>
          <w:color w:val="555555"/>
        </w:rPr>
        <w:t xml:space="preserve">Market validation: EVA Flower Mound (Texas) operates two arenas at $29/40-min session. Pricing tier in our model ($250 per session for groups) is conservative versus US benchmarks.</w:t>
      </w:r>
    </w:p>
    <w:p>
      <w:pPr>
        <w:pStyle w:val="Heading2"/>
        <w:pBdr>
          <w:bottom w:val="single" w:color="C9A84C" w:sz="8" w:space="4"/>
        </w:pBdr>
        <w:spacing w:after="140" w:before="280"/>
      </w:pPr>
      <w:r>
        <w:rPr>
          <w:rFonts w:ascii="Arial" w:cs="Arial" w:eastAsia="Arial" w:hAnsi="Arial"/>
          <w:b/>
          <w:bCs/>
          <w:color w:val="1A2A4A"/>
          <w:sz w:val="28"/>
          <w:szCs w:val="28"/>
        </w:rPr>
        <w:t xml:space="preserve">2.2 Pixoul Simulators + Arcade Machines ($4.9M consolidated)</w:t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</w:rPr>
        <w:t xml:space="preserve">Vendors: Andamiro USA, UNIS, RobocomVR (Pixoul UAE technology partner)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Andamiro Pump It Up LX 65"/55" flagship dance cabinets: $9,000–$15,000 each (Player One Amusement Group: p1-ag.com)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Commercial racing/flight simulators: $20,000–$80,000 each depending on motion platform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Industry-standard arcade redemption hardware: $5,000–$12,000 per cabinet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60-cabinet arcade configuration at $7K–$12K/unit blended average = $420K–$720K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Premium simulator zone (10 motion platforms): $400K–$800K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RobocomVR proprietary VR platform stations + content licensing: $1.5M–$2.5M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Pixoul proprietary simulator IP and integration: $1.0M–$1.5M</w:t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</w:rPr>
        <w:t xml:space="preserve">Subtotal range: $3.3M–$5.5M. Pixoul model: $4.9M (mid-range).</w:t>
      </w:r>
    </w:p>
    <w:p>
      <w:pPr>
        <w:spacing w:after="120" w:before="0"/>
        <w:jc w:val="left"/>
      </w:pPr>
      <w:r>
        <w:rPr>
          <w:rFonts w:ascii="Arial" w:cs="Arial" w:eastAsia="Arial" w:hAnsi="Arial"/>
          <w:i/>
          <w:iCs/>
          <w:color w:val="4CAF7D"/>
        </w:rPr>
        <w:t xml:space="preserve">Hybrid option available: $2M upfront + revenue share with Pixoul UAE — meaningfully reduces Phase 1 cash requirement.</w:t>
      </w:r>
    </w:p>
    <w:p>
      <w:pPr>
        <w:pStyle w:val="Heading2"/>
        <w:pBdr>
          <w:bottom w:val="single" w:color="C9A84C" w:sz="8" w:space="4"/>
        </w:pBdr>
        <w:spacing w:after="140" w:before="280"/>
      </w:pPr>
      <w:r>
        <w:rPr>
          <w:rFonts w:ascii="Arial" w:cs="Arial" w:eastAsia="Arial" w:hAnsi="Arial"/>
          <w:b/>
          <w:bCs/>
          <w:color w:val="1A2A4A"/>
          <w:sz w:val="28"/>
          <w:szCs w:val="28"/>
        </w:rPr>
        <w:t xml:space="preserve">2.3 Gaming PCs &amp; Peripherals ($540K — 60 stations)</w:t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</w:rPr>
        <w:t xml:space="preserve">Component validation: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NVIDIA RTX 4090 24GB: ~$1,800 retail (NVIDIA, US 2026 prices)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Custom esports gaming PC build (RTX 4090 + Ryzen 9 / i9 + 64GB RAM + NVMe): $2,800–$3,500 per unit (CustomLuxPCs, NZXT BLD)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 esports chair (Secretlab Titan, Herman Miller Embody Gaming): $400–$1,500 per seat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BenQ ZOWIE XL2566K 360Hz monitor (industry standard, Pixoul UAE partner): $599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Logitech G Pro X mouse, keyboard, headset bundle: $400 per station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Game licenses (Steam Enterprise, individual title licensing): $1,000/year per station</w:t>
      </w:r>
    </w:p>
    <w:p>
      <w:pPr>
        <w:spacing w:after="120" w:before="0"/>
        <w:jc w:val="left"/>
      </w:pPr>
      <w:r>
        <w:rPr>
          <w:rFonts w:ascii="Arial" w:cs="Arial" w:eastAsia="Arial" w:hAnsi="Arial"/>
          <w:i/>
          <w:iCs/>
        </w:rPr>
        <w:t xml:space="preserve">Per-station total: $4,200–$5,800 hardware + $1,000/yr licensing. 60 stations × $7,500 capitalized average = $450K. Add networking infrastructure, switches, server cabinet, cable management: $90K. Total: $540K (validated).</w:t>
      </w:r>
    </w:p>
    <w:p>
      <w:pPr>
        <w:pStyle w:val="Heading2"/>
        <w:pBdr>
          <w:bottom w:val="single" w:color="C9A84C" w:sz="8" w:space="4"/>
        </w:pBdr>
        <w:spacing w:after="140" w:before="280"/>
      </w:pPr>
      <w:r>
        <w:rPr>
          <w:rFonts w:ascii="Arial" w:cs="Arial" w:eastAsia="Arial" w:hAnsi="Arial"/>
          <w:b/>
          <w:bCs/>
          <w:color w:val="1A2A4A"/>
          <w:sz w:val="28"/>
          <w:szCs w:val="28"/>
        </w:rPr>
        <w:t xml:space="preserve">2.4 Academy + Lab Equipment ($500K)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DOBOT Magician educational robotic arm: $1,695–$1,999 each (RobotLAB, Top3DShop, Eduporium — verified April 2026)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20× DOBOT Magician units = $34K–$40K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Bambu Lab X1-Carbon 3D printers: $1,449 each. 15 units = $22K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Industrial 3D printer (Markforged, FormLabs Form 4): $5,000–$12,000 each. 4 units = $30K–$48K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VR development kits (Meta Quest 3 Pro, Valve Index): $1,000–$2,000 each. 12 sets = $18K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Lab workstations (Dell Precision tower + dual monitor): $3,500 each. 30 stations = $105K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Robotics components (Arduino, Raspberry Pi, sensors, servo libraries): $50K kit budget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Cybersecurity lab (servers, network appliances, isolated test environment): $80K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Furniture, classroom AV, smart boards, printing/scanning: $130K</w:t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</w:rPr>
        <w:t xml:space="preserve">Total: ~$500K (validated).</w:t>
      </w:r>
    </w:p>
    <w:p>
      <w:pPr>
        <w:pStyle w:val="Heading2"/>
        <w:pBdr>
          <w:bottom w:val="single" w:color="C9A84C" w:sz="8" w:space="4"/>
        </w:pBdr>
        <w:spacing w:after="140" w:before="280"/>
      </w:pPr>
      <w:r>
        <w:rPr>
          <w:rFonts w:ascii="Arial" w:cs="Arial" w:eastAsia="Arial" w:hAnsi="Arial"/>
          <w:b/>
          <w:bCs/>
          <w:color w:val="1A2A4A"/>
          <w:sz w:val="28"/>
          <w:szCs w:val="28"/>
        </w:rPr>
        <w:t xml:space="preserve">2.5 Construction &amp; Build-Out ($2M Phase 1 + $1.5M Phase 2)</w:t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</w:rPr>
        <w:t xml:space="preserve">Methodology: Casablanca commercial fit-out construction is benchmarked at $80–$150 per m² for shell + core, $200–$400/m² for full premium fit-out. Pixoul Morocco target: ~3,000m² across multiple zones.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Shell + core construction (3,000m² × $120/m²): $360K (typically lessor responsibility — Idriss negotiation)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Specialty zones (esports arena, VR free-roam, rooftop bar with HVAC): $250–$400/m²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LED video walls (78m² broadcast LED — same spec as Pixoul UAE): $180K–$280K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Acoustic treatment (esports arena, broadcast studio, music production): $90K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Climate control upgrade (60+ gaming PCs require dedicated HVAC): $120K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Electrical upgrade (3-phase, redundancy, UPS): $150K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Plumbing / kitchen / rooftop bar prep: $200K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Interior design, branding, signage, lighting design: $250K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Phase 2 expansion (museum buildout, EVA arena dedicated space): $1.5M</w:t>
      </w:r>
    </w:p>
    <w:p>
      <w:pPr>
        <w:pStyle w:val="Heading2"/>
        <w:pBdr>
          <w:bottom w:val="single" w:color="C9A84C" w:sz="8" w:space="4"/>
        </w:pBdr>
        <w:spacing w:after="140" w:before="280"/>
      </w:pPr>
      <w:r>
        <w:rPr>
          <w:rFonts w:ascii="Arial" w:cs="Arial" w:eastAsia="Arial" w:hAnsi="Arial"/>
          <w:b/>
          <w:bCs/>
          <w:color w:val="1A2A4A"/>
          <w:sz w:val="28"/>
          <w:szCs w:val="28"/>
        </w:rPr>
        <w:t xml:space="preserve">2.6 Furniture, Fixtures &amp; Equipment ($800K)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Esports tournament arena seating (800 capacity): $80K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Lounge furniture, modular sofas, tables: $150K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Rooftop bar fit-out (DJ booth, bar, dancefloor, outdoor seating): $200K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Classroom furniture (modular tables, ergonomic chairs, storage): $120K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Reception, retail kiosk, locker areas: $80K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Branded signage, wayfinding, immersive LED installations: $170K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3. CapEx Subsidies &amp; Recovery Mechanisms</w:t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color w:val="4CAF7D"/>
        </w:rPr>
        <w:t xml:space="preserve">Net CapEx after government subsidies and tax mechanisms: $6.0M–$7.2M (vs gross $10.84M).</w:t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500"/>
        <w:gridCol w:w="1900"/>
      </w:tblGrid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Subsidy / Mechanism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Saving on Equipment CapEx (~$7.6M eligible)</w:t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Annual / One-time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Morocco VAT recovery (20%)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$1,520,000</w:t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One-time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Customs duty exemption — educational equipment (15% blended)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$1,140,000</w:t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One-time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Investment Fund grant (Investment Charter — 10%)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$1,084,000</w:t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One-time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SMIT touristic infrastructure grant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$1,500,000</w:t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One-time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i/>
          <w:iCs/>
        </w:rPr>
        <w:t xml:space="preserve">Combined potential subsidy: ~$5.24M of $10.84M gross. Conservative case (only VAT + duty active): $2.66M reduction. Net CapEx range: $5.6M–$8.2M.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4. Procurement Strategy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89A84C"/>
          <w:sz w:val="22"/>
          <w:szCs w:val="22"/>
        </w:rPr>
        <w:t xml:space="preserve">4.1 Primary Suppliers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Pixoul UAE (Abu Dhabi flagship) — proven supplier for proprietary simulators, content, and IP licensing. Internal transfer pricing.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Andamiro USA — direct dealer relationship via Player One Amusement Group / Primetime Amusements.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EVA.gg (France) — franchise contract negotiated separately. Includes hardware, software, content updates.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RobocomVR (Dubai) — Pixoul UAE existing tech partner.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BenQ ZOWIE — Pixoul UAE official esports monitor partner; preferential commercial pricing already negotiated.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DOBOT (China) — direct from manufacturer via educational distributor RobotLAB.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89A84C"/>
          <w:sz w:val="22"/>
          <w:szCs w:val="22"/>
        </w:rPr>
        <w:t xml:space="preserve">4.2 Procurement Timeline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Months 1–3: LOI signatures, deposit payments (10–25% of equipment value)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Months 4–9: Manufacturing + shipping (Andamiro 12-week lead, simulators 16-week, EVA install team mobilization)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Months 9–12: On-site installation, calibration, certification testing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Month 13: Soft launch with limited capacity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Month 15: Full commercial opening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89A84C"/>
          <w:sz w:val="22"/>
          <w:szCs w:val="22"/>
        </w:rPr>
        <w:t xml:space="preserve">4.3 Risk Mitigation on Equipment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All major equipment carries minimum 1-year manufacturer warranty (DOBOT, Andamiro, EVA, BenQ confirmed)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Extended warranty / service contracts negotiated to cover 24–36 months for arcade redemption hardware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Spare parts inventory: 5% of CapEx allocated for first-year spares (~$540K reserve)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Pixoul UAE provides remote diagnostic and emergency support for proprietary simulators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5. Comparable Market Validation</w:t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500"/>
        <w:gridCol w:w="1700"/>
        <w:gridCol w:w="1100"/>
        <w:gridCol w:w="2400"/>
      </w:tblGrid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Comparable Venue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CapEx (USD)</w:t>
            </w:r>
          </w:p>
        </w:tc>
        <w:tc>
          <w:tcPr>
            <w:tcW w:type="dxa" w:w="1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Sq m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Pixoul Gaming Abu Dhabi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UAE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~$11M (est)</w:t>
            </w:r>
          </w:p>
        </w:tc>
        <w:tc>
          <w:tcPr>
            <w:tcW w:type="dxa" w:w="1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4,500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Live operating since Nov 2022 (proven model)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EVA Flower Mound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USA (Texas)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~$3M (one arena)</w:t>
            </w:r>
          </w:p>
        </w:tc>
        <w:tc>
          <w:tcPr>
            <w:tcW w:type="dxa" w:w="1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1,200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Two EVA arenas only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Hub Zero Dubai (now closed)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UAE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$50M</w:t>
            </w:r>
          </w:p>
        </w:tc>
        <w:tc>
          <w:tcPr>
            <w:tcW w:type="dxa" w:w="1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15,000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Larger scope, higher density of premium attractions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Esports Stadium Arlington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USA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$10M</w:t>
            </w:r>
          </w:p>
        </w:tc>
        <w:tc>
          <w:tcPr>
            <w:tcW w:type="dxa" w:w="1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9,200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Esports-only focus, no education layer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Razer Store + Cafe (multiple)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Asia/EU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$2M–$5M</w:t>
            </w:r>
          </w:p>
        </w:tc>
        <w:tc>
          <w:tcPr>
            <w:tcW w:type="dxa" w:w="1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500–1,500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Smaller, single-zone concept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i/>
          <w:iCs/>
        </w:rPr>
        <w:t xml:space="preserve">Pixoul Morocco at $10.84M for ~3,000m² across 8 revenue pillars (gaming + rooftop + academy + events + esports + ancillary) sits at the cost-efficient end of integrated entertainment-education projects. Cost per m² ($3,613) is 35% below Pixoul UAE Abu Dhabi when normalizing for Morocco labor and construction rates.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6. Defense Talking Points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89A84C"/>
          <w:sz w:val="22"/>
          <w:szCs w:val="22"/>
        </w:rPr>
        <w:t xml:space="preserve">Q: "Why is the simulator + arcade line so high at $4.9M?"</w:t>
      </w:r>
    </w:p>
    <w:p>
      <w:pPr>
        <w:spacing w:after="180" w:before="0"/>
        <w:jc w:val="left"/>
      </w:pPr>
      <w:r>
        <w:rPr>
          <w:rFonts w:ascii="Arial" w:cs="Arial" w:eastAsia="Arial" w:hAnsi="Arial"/>
        </w:rPr>
        <w:t xml:space="preserve">A: This is a consolidated line covering: (1) ~60 commercial-grade arcade and redemption cabinets averaging $7K–$12K each ($420K–$720K), (2) 10 premium motion-platform simulators ($400K–$800K), (3) RobocomVR-supplied VR stations and proprietary content ($1.5M–$2.5M), and (4) Pixoul UAE proprietary simulator IP integration ($1.0M–$1.5M). The hybrid option of $2M upfront plus revenue share is available if cash conservation is preferred.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89A84C"/>
          <w:sz w:val="22"/>
          <w:szCs w:val="22"/>
        </w:rPr>
        <w:t xml:space="preserve">Q: "Why pay $1.5M for an EVA franchise instead of building VR ourselves?"</w:t>
      </w:r>
    </w:p>
    <w:p>
      <w:pPr>
        <w:spacing w:after="180" w:before="0"/>
        <w:jc w:val="left"/>
      </w:pPr>
      <w:r>
        <w:rPr>
          <w:rFonts w:ascii="Arial" w:cs="Arial" w:eastAsia="Arial" w:hAnsi="Arial"/>
        </w:rPr>
        <w:t xml:space="preserve">A: EVA is the only proven free-roam VR esports platform with 30+ live locations globally, established competitive ecosystem, ongoing content updates, and turnkey installation. Building proprietary equivalent would cost $3M+, take 18 months, and lack the EVA brand recognition that drives MENA tournament traffic. EVA franchise also includes 7-day technical support, periodic game updates, and access to the global EVA tournament circuit — significant marketing leverage.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89A84C"/>
          <w:sz w:val="22"/>
          <w:szCs w:val="22"/>
        </w:rPr>
        <w:t xml:space="preserve">Q: "Are you sure the academy lab equipment is only $500K?"</w:t>
      </w:r>
    </w:p>
    <w:p>
      <w:pPr>
        <w:spacing w:after="180" w:before="0"/>
        <w:jc w:val="left"/>
      </w:pPr>
      <w:r>
        <w:rPr>
          <w:rFonts w:ascii="Arial" w:cs="Arial" w:eastAsia="Arial" w:hAnsi="Arial"/>
        </w:rPr>
        <w:t xml:space="preserve">A: Yes — DOBOT Magician arms at $1,695–$1,999 each are public price (RobotLAB, Top3DShop verified April 2026). 20 units = $40K. Bambu Lab 3D printers at $1,449 (15 units = $22K). Industrial 3D printers, lab workstations, robotics kits, cybersecurity infrastructure, and furniture together account for the remaining $440K. The line is conservatively budgeted with 15% buffer for shipping, customs, and installation.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89A84C"/>
          <w:sz w:val="22"/>
          <w:szCs w:val="22"/>
        </w:rPr>
        <w:t xml:space="preserve">Q: "What if Morocco customs and shipping costs are higher than budgeted?"</w:t>
      </w:r>
    </w:p>
    <w:p>
      <w:pPr>
        <w:spacing w:after="240" w:before="0"/>
        <w:jc w:val="left"/>
      </w:pPr>
      <w:r>
        <w:rPr>
          <w:rFonts w:ascii="Arial" w:cs="Arial" w:eastAsia="Arial" w:hAnsi="Arial"/>
        </w:rPr>
        <w:t xml:space="preserve">A: All equipment quotes already include landed cost estimates. Pixoul Morocco qualifies for the educational equipment customs duty exemption (~15% saving). Worst-case scenario where exemption is not granted: budget overrun is capped at ~$400K, fully covered by the contingency reserve in the broader CapEx envelope.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7. Sources &amp; Verification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EVA.gg franchise: topfranchise.com/products/eva-esports-virtual-arenas-franchise (verified April 2026)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EVA Flower Mound operations: secretdallas.com/worlds-biggest-esports-arena-flower-mound, eva.gg/en-US/locations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Andamiro USA pricing: andamirousa.com, primetimeamusements.com, p1-ag.com/products/pump-it-up-lx-phoenix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DOBOT educational pricing: robotlab.com/store/dobot-magician-v3-standard-edition ($1,999), top3dshop.com (Basic $1,695), eduporium.com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NVIDIA RTX 4090 retail: nvidia.com (manufacturer page)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BenQ ZOWIE XL2566K commercial pricing: zowie.benq.com, partnership confirmed via Pixoul UAE existing relationship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Pixoul UAE operating data: pixoulgaming.com, alqana.ae/pixoul-gaming, LinkedIn company page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Bambu Lab X1-Carbon: bambulab.com (manufacturer page)</w:t>
      </w:r>
    </w:p>
    <w:p>
      <w:pPr>
        <w:spacing w:after="12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i/>
          <w:iCs/>
          <w:color w:val="555555"/>
        </w:rPr>
        <w:t xml:space="preserve">All vendor quotes available on request. Live pricing snapshots from April 2026 archived as part of due-diligence package.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A2A4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1A2A4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2026-04-12T14:24:40.811Z</dcterms:created>
  <dcterms:modified xsi:type="dcterms:W3CDTF">2026-04-12T14:24:40.812Z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